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D" w:rsidRDefault="00C458DD">
      <w:pPr>
        <w:pStyle w:val="ConsPlusTitlePage"/>
      </w:pPr>
      <w:bookmarkStart w:id="0" w:name="_GoBack"/>
      <w:bookmarkEnd w:id="0"/>
    </w:p>
    <w:p w:rsidR="00C458DD" w:rsidRDefault="00C458DD">
      <w:pPr>
        <w:pStyle w:val="ConsPlusNormal"/>
        <w:jc w:val="both"/>
      </w:pPr>
    </w:p>
    <w:p w:rsidR="00C458DD" w:rsidRDefault="00C458DD">
      <w:pPr>
        <w:pStyle w:val="ConsPlusTitle"/>
        <w:jc w:val="center"/>
      </w:pPr>
      <w:r>
        <w:t>КАБИНЕТ МИНИСТРОВ РЕСПУБЛИКИ ТАТАРСТАН</w:t>
      </w:r>
    </w:p>
    <w:p w:rsidR="00C458DD" w:rsidRDefault="00C458DD">
      <w:pPr>
        <w:pStyle w:val="ConsPlusTitle"/>
        <w:jc w:val="center"/>
      </w:pPr>
    </w:p>
    <w:p w:rsidR="00C458DD" w:rsidRDefault="00C458DD">
      <w:pPr>
        <w:pStyle w:val="ConsPlusTitle"/>
        <w:jc w:val="center"/>
      </w:pPr>
      <w:r>
        <w:t>ПОСТАНОВЛЕНИЕ</w:t>
      </w:r>
    </w:p>
    <w:p w:rsidR="00C458DD" w:rsidRDefault="00C458DD">
      <w:pPr>
        <w:pStyle w:val="ConsPlusTitle"/>
        <w:jc w:val="center"/>
      </w:pPr>
      <w:r>
        <w:t>от 15 октября 2011 г. N 857</w:t>
      </w:r>
    </w:p>
    <w:p w:rsidR="00C458DD" w:rsidRDefault="00C458DD">
      <w:pPr>
        <w:pStyle w:val="ConsPlusTitle"/>
        <w:jc w:val="center"/>
      </w:pPr>
    </w:p>
    <w:p w:rsidR="00C458DD" w:rsidRDefault="00C458DD">
      <w:pPr>
        <w:pStyle w:val="ConsPlusTitle"/>
        <w:jc w:val="center"/>
      </w:pPr>
      <w:r>
        <w:t>ОБ УТВЕРЖДЕНИИ КОНЦЕПЦИИ ДОЛГОСРОЧНОЙ ЦЕЛЕВОЙ ПРОГРАММЫ</w:t>
      </w:r>
    </w:p>
    <w:p w:rsidR="00C458DD" w:rsidRDefault="00C458DD">
      <w:pPr>
        <w:pStyle w:val="ConsPlusTitle"/>
        <w:jc w:val="center"/>
      </w:pPr>
      <w:r>
        <w:t>"РАЗВИТИЕ РЫНКА ИНТЕЛЛЕКТУАЛЬНОЙ СОБСТВЕННОСТИ</w:t>
      </w:r>
    </w:p>
    <w:p w:rsidR="00C458DD" w:rsidRDefault="00C458DD">
      <w:pPr>
        <w:pStyle w:val="ConsPlusTitle"/>
        <w:jc w:val="center"/>
      </w:pPr>
      <w:r>
        <w:t>В РЕСПУБЛИКЕ ТАТАРСТАН НА 2012 - 2020 ГОДЫ"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 xml:space="preserve">В целях повышения конкурентоспособности республиканских товаропроизводителей на </w:t>
      </w:r>
      <w:proofErr w:type="gramStart"/>
      <w:r>
        <w:t>отечественном</w:t>
      </w:r>
      <w:proofErr w:type="gramEnd"/>
      <w:r>
        <w:t xml:space="preserve"> и зарубежных рынках за счет эффективного управления интеллектуальной собственностью Кабинет Министров Республики Татарстан ПОСТАНОВЛЯЕТ: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Концепцию</w:t>
        </w:r>
      </w:hyperlink>
      <w:r>
        <w:t xml:space="preserve"> Долгосрочной целевой программы "Развитие рынка интеллектуальной собственности в Республике Татарстан на 2012 - 2020 годы" (далее - Концепция).</w:t>
      </w:r>
    </w:p>
    <w:p w:rsidR="00C458DD" w:rsidRDefault="00C458DD">
      <w:pPr>
        <w:pStyle w:val="ConsPlusNormal"/>
        <w:ind w:firstLine="540"/>
        <w:jc w:val="both"/>
      </w:pPr>
      <w:r>
        <w:t>2. Министерству экономики Республики Татарстан на основе Концепции обеспечить разработку проекта Долгосрочной целевой программы "Развитие рынка интеллектуальной собственности в Республике Татарстан на 2012 - 2020 годы".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right"/>
      </w:pPr>
      <w:r>
        <w:t>Премьер-министр</w:t>
      </w:r>
    </w:p>
    <w:p w:rsidR="00C458DD" w:rsidRDefault="00C458DD">
      <w:pPr>
        <w:pStyle w:val="ConsPlusNormal"/>
        <w:jc w:val="right"/>
      </w:pPr>
      <w:r>
        <w:t>Республики Татарстан</w:t>
      </w:r>
    </w:p>
    <w:p w:rsidR="00C458DD" w:rsidRDefault="00C458DD">
      <w:pPr>
        <w:pStyle w:val="ConsPlusNormal"/>
        <w:jc w:val="right"/>
      </w:pPr>
      <w:r>
        <w:t>И.Ш.ХАЛИКОВ</w:t>
      </w:r>
    </w:p>
    <w:p w:rsidR="00C458DD" w:rsidRDefault="00C458DD">
      <w:pPr>
        <w:pStyle w:val="ConsPlusNormal"/>
        <w:jc w:val="right"/>
      </w:pPr>
    </w:p>
    <w:p w:rsidR="00C458DD" w:rsidRDefault="00C458DD">
      <w:pPr>
        <w:pStyle w:val="ConsPlusNormal"/>
        <w:jc w:val="right"/>
      </w:pPr>
    </w:p>
    <w:p w:rsidR="00C458DD" w:rsidRDefault="00C458DD">
      <w:pPr>
        <w:pStyle w:val="ConsPlusNormal"/>
        <w:jc w:val="right"/>
      </w:pPr>
    </w:p>
    <w:p w:rsidR="00C458DD" w:rsidRDefault="00C458DD">
      <w:pPr>
        <w:pStyle w:val="ConsPlusNormal"/>
        <w:jc w:val="right"/>
      </w:pPr>
    </w:p>
    <w:p w:rsidR="00C458DD" w:rsidRDefault="00C458DD">
      <w:pPr>
        <w:pStyle w:val="ConsPlusNormal"/>
        <w:jc w:val="right"/>
      </w:pPr>
    </w:p>
    <w:p w:rsidR="00C458DD" w:rsidRDefault="00C458DD">
      <w:pPr>
        <w:pStyle w:val="ConsPlusNormal"/>
        <w:jc w:val="right"/>
      </w:pPr>
      <w:r>
        <w:t>Утверждена</w:t>
      </w:r>
    </w:p>
    <w:p w:rsidR="00C458DD" w:rsidRDefault="00C458DD">
      <w:pPr>
        <w:pStyle w:val="ConsPlusNormal"/>
        <w:jc w:val="right"/>
      </w:pPr>
      <w:r>
        <w:t>Постановлением</w:t>
      </w:r>
    </w:p>
    <w:p w:rsidR="00C458DD" w:rsidRDefault="00C458DD">
      <w:pPr>
        <w:pStyle w:val="ConsPlusNormal"/>
        <w:jc w:val="right"/>
      </w:pPr>
      <w:r>
        <w:t>Кабинета Министров</w:t>
      </w:r>
    </w:p>
    <w:p w:rsidR="00C458DD" w:rsidRDefault="00C458DD">
      <w:pPr>
        <w:pStyle w:val="ConsPlusNormal"/>
        <w:jc w:val="right"/>
      </w:pPr>
      <w:r>
        <w:t>Республики Татарстан</w:t>
      </w:r>
    </w:p>
    <w:p w:rsidR="00C458DD" w:rsidRDefault="00C458DD">
      <w:pPr>
        <w:pStyle w:val="ConsPlusNormal"/>
        <w:jc w:val="right"/>
      </w:pPr>
      <w:r>
        <w:t>от 15 октября 2011 г. N 857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Title"/>
        <w:jc w:val="center"/>
      </w:pPr>
      <w:bookmarkStart w:id="1" w:name="P29"/>
      <w:bookmarkEnd w:id="1"/>
      <w:r>
        <w:t>КОНЦЕПЦИЯ</w:t>
      </w:r>
    </w:p>
    <w:p w:rsidR="00C458DD" w:rsidRDefault="00C458DD">
      <w:pPr>
        <w:pStyle w:val="ConsPlusTitle"/>
        <w:jc w:val="center"/>
      </w:pPr>
      <w:r>
        <w:t>ДОЛГОСРОЧНОЙ ЦЕЛЕВОЙ ПРОГРАММЫ "РАЗВИТИЕ РЫНКА</w:t>
      </w:r>
    </w:p>
    <w:p w:rsidR="00C458DD" w:rsidRDefault="00C458DD">
      <w:pPr>
        <w:pStyle w:val="ConsPlusTitle"/>
        <w:jc w:val="center"/>
      </w:pPr>
      <w:r>
        <w:t>ИНТЕЛЛЕКТУАЛЬНОЙ СОБСТВЕННОСТИ В РЕСПУБЛИКЕ ТАТАРСТАН</w:t>
      </w:r>
    </w:p>
    <w:p w:rsidR="00C458DD" w:rsidRDefault="00C458DD">
      <w:pPr>
        <w:pStyle w:val="ConsPlusTitle"/>
        <w:jc w:val="center"/>
      </w:pPr>
      <w:r>
        <w:t>НА 2012 - 2020 ГОДЫ"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1. Введение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>Концепция Долгосрочной целевой программы "Развитие рынка интеллектуальной собственности в Республике Татарстан на 2012 - 2020 годы" (далее - Концепция) является первым этапом разработки Долгосрочной целевой программы "Развитие рынка интеллектуальной собственности в Республике Татарстан на 2012 - 2020 годы" (далее - Программа).</w:t>
      </w:r>
    </w:p>
    <w:p w:rsidR="00C458DD" w:rsidRDefault="00C458DD">
      <w:pPr>
        <w:pStyle w:val="ConsPlusNormal"/>
        <w:ind w:firstLine="540"/>
        <w:jc w:val="both"/>
      </w:pPr>
      <w:r>
        <w:t xml:space="preserve">Основанием для разработки Концепции является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Татарстан от 22.04.2011 N 13-ЗРТ "Об утверждении Программы социально-экономического развития Республики Татарстан на 2011 - 2015 годы".</w:t>
      </w:r>
    </w:p>
    <w:p w:rsidR="00C458DD" w:rsidRDefault="00C458DD">
      <w:pPr>
        <w:pStyle w:val="ConsPlusNormal"/>
        <w:ind w:firstLine="540"/>
        <w:jc w:val="both"/>
      </w:pPr>
      <w:proofErr w:type="gramStart"/>
      <w:r>
        <w:t xml:space="preserve">Программа должна являться составной частью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научной и инновационной деятельности в Республике Татарстан до 2015 года, утвержденной Указом Президента Республики Татарстан от 17.06.2008 N УП-293 "Об утверждении Стратегии развития научной и инновационной деятельности в Республике Татарстан до 2015 года", и согласовываться </w:t>
      </w:r>
      <w:r>
        <w:lastRenderedPageBreak/>
        <w:t xml:space="preserve">с положениями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Татарстан от 02.08.2010 N 63-ЗРТ "Об инновационной деятельности в Республике Татарстан".</w:t>
      </w:r>
      <w:proofErr w:type="gramEnd"/>
    </w:p>
    <w:p w:rsidR="00C458DD" w:rsidRDefault="00C458DD">
      <w:pPr>
        <w:pStyle w:val="ConsPlusNormal"/>
        <w:ind w:firstLine="540"/>
        <w:jc w:val="both"/>
      </w:pPr>
      <w:r>
        <w:t>Мероприятия по реализации Программы могут быть скорректированы с учетом промежуточных результатов и новых приоритетов социально-экономического развития Российской Федерации и Республики Татарстан, а также с учетом изменений законодательства.</w:t>
      </w:r>
    </w:p>
    <w:p w:rsidR="00C458DD" w:rsidRDefault="00C458DD">
      <w:pPr>
        <w:pStyle w:val="ConsPlusNormal"/>
        <w:ind w:firstLine="540"/>
        <w:jc w:val="both"/>
      </w:pPr>
      <w:r>
        <w:t>Исследованию вопросов развития российского рынка интеллектуальной собственности посвящено много работ ученых и специалистов. Однако результаты этих исследований не трансформировались в соответствующие управленческие решения.</w:t>
      </w:r>
    </w:p>
    <w:p w:rsidR="00C458DD" w:rsidRDefault="00C458DD">
      <w:pPr>
        <w:pStyle w:val="ConsPlusNormal"/>
        <w:ind w:firstLine="540"/>
        <w:jc w:val="both"/>
      </w:pPr>
      <w:r>
        <w:t xml:space="preserve">Мировая экономика, вступая в постиндустриальную эпоху, активно преобразует привычные формы экономических отношений, формирует новые механизмы предпринимательской деятельности, трансформирует стиль и образ жизни. Инновации становятся определяющим фактором развития и трансформации экономики, выступая в роли катализатора при адаптации экономики отдельных стран к стремительно меняющимся условиям общемирового функционирования. При этом основным инструментом инновационных преобразований становится интеллектуальная собственность. Именно новейшие разработки, защищенные патентами, могут способствовать </w:t>
      </w:r>
      <w:proofErr w:type="gramStart"/>
      <w:r>
        <w:t>эффективному</w:t>
      </w:r>
      <w:proofErr w:type="gramEnd"/>
      <w:r>
        <w:t xml:space="preserve"> инновационному развитию. Промышленно развитые страны - мировые технологические лидеры формируют высокую долю добавленной стоимости за счет использования результатов интеллектуальной деятельности, при этом международное разделение труда происходит не под действием естественных различий в сырьевых ресурсах, а на базе использования интеллектуального потенциала, человеческого капитала и высокого технологического уровня производства.</w:t>
      </w:r>
    </w:p>
    <w:p w:rsidR="00C458DD" w:rsidRDefault="00C458DD">
      <w:pPr>
        <w:pStyle w:val="ConsPlusNormal"/>
        <w:ind w:firstLine="540"/>
        <w:jc w:val="both"/>
      </w:pPr>
      <w:r>
        <w:t xml:space="preserve">Одним из необходимых и базовых условий инновационного развития является цивилизованный рынок интеллектуальной собственности как на </w:t>
      </w:r>
      <w:proofErr w:type="gramStart"/>
      <w:r>
        <w:t>международном</w:t>
      </w:r>
      <w:proofErr w:type="gramEnd"/>
      <w:r>
        <w:t>, так и на национальном и региональном уровнях. Об этом свидетельствует и успешный зарубежный опыт ряда стран (США, Японии, Федеративной Республики Германии, Китайской Народной Республики), и положительный опыт реализации ряда отдельных отечественных проектов.</w:t>
      </w:r>
    </w:p>
    <w:p w:rsidR="00C458DD" w:rsidRDefault="00C458DD">
      <w:pPr>
        <w:pStyle w:val="ConsPlusNormal"/>
        <w:ind w:firstLine="540"/>
        <w:jc w:val="both"/>
      </w:pPr>
      <w:r>
        <w:t xml:space="preserve">Таким образом, именно наличие интеллектуальной собственности в </w:t>
      </w:r>
      <w:proofErr w:type="spellStart"/>
      <w:r>
        <w:t>коммерциализируемых</w:t>
      </w:r>
      <w:proofErr w:type="spellEnd"/>
      <w:r>
        <w:t xml:space="preserve"> инновационных продуктах играет определяющую роль в повышении их конкурентоспособности. Ввиду этого особую актуальность приобретает вопрос наиболее эффективного использования и реализации научно-технических достижений, что непосредственно связано с развитием рынка интеллектуальной собственности, обеспечивающего действенный механизм передачи новых наукоемких технологий в реальный сектор экономики страны, а также с совершенствованием механизмов управления интеллектуальной собственностью.</w:t>
      </w:r>
    </w:p>
    <w:p w:rsidR="00C458DD" w:rsidRDefault="00C458DD">
      <w:pPr>
        <w:pStyle w:val="ConsPlusNormal"/>
        <w:ind w:firstLine="540"/>
        <w:jc w:val="both"/>
      </w:pPr>
      <w:r>
        <w:t xml:space="preserve">В республике развивается инновационная инфраструктура (технопарки, индустриальные парки, </w:t>
      </w:r>
      <w:proofErr w:type="spellStart"/>
      <w:r>
        <w:t>технополис</w:t>
      </w:r>
      <w:proofErr w:type="spellEnd"/>
      <w:r>
        <w:t>), с другой стороны, потенциал интеллектуальной собственности для создания и коммерческого использования инновационных технологий, полученных по результатам научно-исследовательских, опытно-конструкторских и технологических работ (далее - НИОКР), выполненных в университетах, научных учреждениях и на предприятиях, активно не используется.</w:t>
      </w:r>
    </w:p>
    <w:p w:rsidR="00C458DD" w:rsidRDefault="00C458DD">
      <w:pPr>
        <w:pStyle w:val="ConsPlusNormal"/>
        <w:ind w:firstLine="540"/>
        <w:jc w:val="both"/>
      </w:pPr>
      <w:r>
        <w:t xml:space="preserve">Сегодня в Республике Татарстан создан законодательный каркас инновационной деятельности. Однако необходимо отметить, что законодательное обеспечение инновационной деятельности в настоящий момент все еще не соответствует требованиям участников инновационного процесса. Несмотря на вступление в силу </w:t>
      </w:r>
      <w:hyperlink r:id="rId8" w:history="1">
        <w:r>
          <w:rPr>
            <w:color w:val="0000FF"/>
          </w:rPr>
          <w:t>части четвертой</w:t>
        </w:r>
      </w:hyperlink>
      <w:r>
        <w:t xml:space="preserve"> Гражданского кодекса Российской Федерации, законодательная база для нужд коммерциализации интеллектуальной собственности до настоящего времени не разработана в полном объеме. До сих пор не существует единой государственной политики в сфере правовой охраны и использования результатов научно-технической деятельности и объектов интеллектуальной собственности.</w:t>
      </w:r>
    </w:p>
    <w:p w:rsidR="00C458DD" w:rsidRDefault="00C458DD">
      <w:pPr>
        <w:pStyle w:val="ConsPlusNormal"/>
        <w:ind w:firstLine="540"/>
        <w:jc w:val="both"/>
      </w:pPr>
      <w:r>
        <w:t>Основной целью региональной инновационной политики является создание благоприятных экономических, правовых и организационных условий для инновационной деятельности, обеспечивающих рост конкурентоспособности местной продукции, эффективное использование научно-технических результатов и решение задач социально-экономического развития. В Республике Татарстан реализован комплекс мер законодательного и организационного характера по созданию благоприятных условий для всех субъектов хозяйствования, активизации инвестиционной и инновационной деятельности в целях подъема экономики, повышения эффективности производства и решения социальных задач.</w:t>
      </w:r>
    </w:p>
    <w:p w:rsidR="00C458DD" w:rsidRDefault="00C458DD">
      <w:pPr>
        <w:pStyle w:val="ConsPlusNormal"/>
        <w:ind w:firstLine="540"/>
        <w:jc w:val="both"/>
      </w:pPr>
      <w:r>
        <w:lastRenderedPageBreak/>
        <w:t>Среди основных направлений государственного регулирования инновационной деятельности Республики Татарстан выделены вопросы совершенствования механизмов системы государственного финансирования и регулирования инновационных процессов, повышения эффективности деятельности региональной инновационной инфраструктуры, развития единой системы государственного учета исследований и разработок Республики Татарстан.</w:t>
      </w:r>
    </w:p>
    <w:p w:rsidR="00C458DD" w:rsidRDefault="00C458DD">
      <w:pPr>
        <w:pStyle w:val="ConsPlusNormal"/>
        <w:ind w:firstLine="540"/>
        <w:jc w:val="both"/>
      </w:pPr>
      <w:r>
        <w:t>Удельный вес внутренних расходов на научные исследования и разработки в странах Европейского союза, США и Японии составляет 2,2, 2,8 и 3 процента от валового внутреннего продукта соответственно. Российская Федерация со своими скромными расходами на научные исследования и разработки в размере 1,1 процента от валового внутреннего продукта уступает флагманам мирового рынка инновационных товаров и услуг. Однако здесь следует иметь в виду, что за рубежом решающую роль в затратах на НИОКР играют предприятия частного сектора - на их долю приходится примерно 70 - 80 процентов подобных издержек, в то время как в нашей стране ситуация прямо противоположная.</w:t>
      </w:r>
    </w:p>
    <w:p w:rsidR="00C458DD" w:rsidRDefault="00C458DD">
      <w:pPr>
        <w:pStyle w:val="ConsPlusNormal"/>
        <w:ind w:firstLine="540"/>
        <w:jc w:val="both"/>
      </w:pPr>
      <w:r>
        <w:t xml:space="preserve">Анализ расходов бюджета Республики Татарстан показал, что за 2007 - 2010 годы и первое полугодие 2011 года на финансирование 424 проектов НИОКР в Республике Татарстан направлены государственные ассигнования в объеме 690 100,5 тыс. рублей. Это, конечно, далеко не малая цифра. </w:t>
      </w:r>
      <w:proofErr w:type="gramStart"/>
      <w:r>
        <w:t>При этом только 6,4 процента работ из общего количества профинансированных проектов НИОКР завершились получением охранных документов (патенты на изобретения, полезные модели, свидетельства на программы для ЭВМ, патенты на селекционные достижения и другое), доля расходов на мероприятия, связанные с охраной и управлением интеллектуальной собственностью, составила не более 2 процентов в расходах на НИОКР университетов и научных учреждений, а доля нематериальных активов</w:t>
      </w:r>
      <w:proofErr w:type="gramEnd"/>
      <w:r>
        <w:t xml:space="preserve"> в общей сумме активов предприятий составила в среднем менее 3 процентов.</w:t>
      </w:r>
    </w:p>
    <w:p w:rsidR="00C458DD" w:rsidRDefault="00C458DD">
      <w:pPr>
        <w:pStyle w:val="ConsPlusNormal"/>
        <w:ind w:firstLine="540"/>
        <w:jc w:val="both"/>
      </w:pPr>
      <w:r>
        <w:t xml:space="preserve">Однако система оценки и учета интеллектуальной собственности, инновационной и научной продукции до сих пор еще недостаточно эффективна, существующая система финансирования НИОКР не </w:t>
      </w:r>
      <w:proofErr w:type="gramStart"/>
      <w:r>
        <w:t>отвечает современным реалиям инновационного развития экономики и требует</w:t>
      </w:r>
      <w:proofErr w:type="gramEnd"/>
      <w:r>
        <w:t xml:space="preserve"> пересмотра. Вместе с тем в Республике Татарстан каждые три года формируется инновационный меморандум, который определяет приоритетные направления инновационного развития экономики. В этой связи для повышения эффективности контроля над целевым и рациональным использованием бюджетных сре</w:t>
      </w:r>
      <w:proofErr w:type="gramStart"/>
      <w:r>
        <w:t>дств пр</w:t>
      </w:r>
      <w:proofErr w:type="gramEnd"/>
      <w:r>
        <w:t>едлагается ежегодно формировать государственный заказ на НИОКР по приоритетным направлениям инновационного развития экономики Республики Татарстан, утвержденным инновационным меморандумом Республики Татарстан. Это позволит повысить долю коммерциализации результатов НИОКР и получить экономический эффект от их внедрения в производство.</w:t>
      </w:r>
    </w:p>
    <w:p w:rsidR="00C458DD" w:rsidRDefault="00C458DD">
      <w:pPr>
        <w:pStyle w:val="ConsPlusNormal"/>
        <w:ind w:firstLine="540"/>
        <w:jc w:val="both"/>
      </w:pPr>
      <w:r>
        <w:t xml:space="preserve">Необходимы корректная оценка степени </w:t>
      </w:r>
      <w:proofErr w:type="spellStart"/>
      <w:r>
        <w:t>инновационности</w:t>
      </w:r>
      <w:proofErr w:type="spellEnd"/>
      <w:r>
        <w:t xml:space="preserve"> проектов, а также действенных механизмов стимулирования хозяйствующих субъектов и своевременное информирование о текущей ситуации.</w:t>
      </w:r>
    </w:p>
    <w:p w:rsidR="00C458DD" w:rsidRDefault="00C458DD">
      <w:pPr>
        <w:pStyle w:val="ConsPlusNormal"/>
        <w:ind w:firstLine="540"/>
        <w:jc w:val="both"/>
      </w:pPr>
      <w:r>
        <w:t>Выделяются следующие проблемы инновационного развития:</w:t>
      </w:r>
    </w:p>
    <w:p w:rsidR="00C458DD" w:rsidRDefault="00C458DD">
      <w:pPr>
        <w:pStyle w:val="ConsPlusNormal"/>
        <w:ind w:firstLine="540"/>
        <w:jc w:val="both"/>
      </w:pPr>
      <w:r>
        <w:t>отсутствие на федеральном уровне законодательного регулирования инновационной сферы и, как следствие, недостаточно детерминированная нормативная база республики;</w:t>
      </w:r>
    </w:p>
    <w:p w:rsidR="00C458DD" w:rsidRDefault="00C458DD">
      <w:pPr>
        <w:pStyle w:val="ConsPlusNormal"/>
        <w:ind w:firstLine="540"/>
        <w:jc w:val="both"/>
      </w:pPr>
      <w:r>
        <w:t>отсутствие налаженной системы взаимосвязей участников научной и инновационной деятельности;</w:t>
      </w:r>
    </w:p>
    <w:p w:rsidR="00C458DD" w:rsidRDefault="00C458DD">
      <w:pPr>
        <w:pStyle w:val="ConsPlusNormal"/>
        <w:ind w:firstLine="540"/>
        <w:jc w:val="both"/>
      </w:pPr>
      <w:r>
        <w:t xml:space="preserve">сложности </w:t>
      </w:r>
      <w:proofErr w:type="gramStart"/>
      <w:r>
        <w:t>проведения конкурентного анализа инновационных систем субъектов Российской Федерации</w:t>
      </w:r>
      <w:proofErr w:type="gramEnd"/>
      <w:r>
        <w:t xml:space="preserve"> в связи с отсутствием современных методик статистического учета результатов интеллектуальной деятельности;</w:t>
      </w:r>
    </w:p>
    <w:p w:rsidR="00C458DD" w:rsidRDefault="00C458DD">
      <w:pPr>
        <w:pStyle w:val="ConsPlusNormal"/>
        <w:ind w:firstLine="540"/>
        <w:jc w:val="both"/>
      </w:pPr>
      <w:r>
        <w:t>недостаток квалифицированных кадров в сфере инновационного бизнеса, в том числе и в сфере управления интеллектуальной собственностью, неразвитость институтов поддержки инноваций, таких как офисы коммерциализации, центры трансфера технологий и прочее;</w:t>
      </w:r>
    </w:p>
    <w:p w:rsidR="00C458DD" w:rsidRDefault="00C458DD">
      <w:pPr>
        <w:pStyle w:val="ConsPlusNormal"/>
        <w:ind w:firstLine="540"/>
        <w:jc w:val="both"/>
      </w:pPr>
      <w:r>
        <w:t>незаинтересованность предпринимательского сектора экономики в финансировании рискованных и дорогостоящих инновационных и инвестиционных проектов, имеющих длительные сроки окупаемости;</w:t>
      </w:r>
    </w:p>
    <w:p w:rsidR="00C458DD" w:rsidRDefault="00C458DD">
      <w:pPr>
        <w:pStyle w:val="ConsPlusNormal"/>
        <w:ind w:firstLine="540"/>
        <w:jc w:val="both"/>
      </w:pPr>
      <w:r>
        <w:t xml:space="preserve">неразвитость оценочного бизнеса в сфере инноваций, завышение научными и образовательными учреждениями оценочной стоимости результатов интеллектуальной деятельности, вносимых в уставный капитал малого инновационного предприятия, что может </w:t>
      </w:r>
      <w:r>
        <w:lastRenderedPageBreak/>
        <w:t>привести к дефициту реальных материальных сре</w:t>
      </w:r>
      <w:proofErr w:type="gramStart"/>
      <w:r>
        <w:t>дств пр</w:t>
      </w:r>
      <w:proofErr w:type="gramEnd"/>
      <w:r>
        <w:t>едприятия, необходимых для его операционной деятельности;</w:t>
      </w:r>
    </w:p>
    <w:p w:rsidR="00C458DD" w:rsidRDefault="00C458DD">
      <w:pPr>
        <w:pStyle w:val="ConsPlusNormal"/>
        <w:ind w:firstLine="540"/>
        <w:jc w:val="both"/>
      </w:pPr>
      <w:r>
        <w:t>отсутствие в научных и образовательных учреждениях отлаженной системы стимулирования участия в научной, изыскательской деятельности, а также коммерциализации профессорско-преподавательским и исследовательским составом собственных разработок.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2. Предложения о целях, задачах и целевых</w:t>
      </w:r>
    </w:p>
    <w:p w:rsidR="00C458DD" w:rsidRDefault="00C458DD">
      <w:pPr>
        <w:pStyle w:val="ConsPlusNormal"/>
        <w:jc w:val="center"/>
      </w:pPr>
      <w:proofErr w:type="gramStart"/>
      <w:r>
        <w:t>индикаторах</w:t>
      </w:r>
      <w:proofErr w:type="gramEnd"/>
      <w:r>
        <w:t xml:space="preserve"> Программы</w:t>
      </w:r>
    </w:p>
    <w:p w:rsidR="00C458DD" w:rsidRDefault="00C458DD">
      <w:pPr>
        <w:pStyle w:val="ConsPlusNormal"/>
        <w:jc w:val="center"/>
      </w:pPr>
    </w:p>
    <w:p w:rsidR="00C458DD" w:rsidRDefault="00C458DD">
      <w:pPr>
        <w:pStyle w:val="ConsPlusNormal"/>
        <w:ind w:firstLine="540"/>
        <w:jc w:val="both"/>
      </w:pPr>
      <w:r>
        <w:t>Программа должна быть направлена на реализацию государственной политики в сфере интеллектуальной собственности и развитие благоприятных условий для создания конкурентоспособной продукции.</w:t>
      </w:r>
    </w:p>
    <w:p w:rsidR="00C458DD" w:rsidRDefault="00C458DD">
      <w:pPr>
        <w:pStyle w:val="ConsPlusNormal"/>
        <w:ind w:firstLine="540"/>
        <w:jc w:val="both"/>
      </w:pPr>
      <w:r>
        <w:t xml:space="preserve">Цель Программы - формирование действенного механизма получения экономических преимуществ от инновационной деятельности, повышение конкурентоспособности республиканских товаропроизводителей на </w:t>
      </w:r>
      <w:proofErr w:type="gramStart"/>
      <w:r>
        <w:t>отечественном</w:t>
      </w:r>
      <w:proofErr w:type="gramEnd"/>
      <w:r>
        <w:t xml:space="preserve"> и зарубежных рынках за счет эффективного управления интеллектуальной собственностью.</w:t>
      </w:r>
    </w:p>
    <w:p w:rsidR="00C458DD" w:rsidRDefault="00C458DD">
      <w:pPr>
        <w:pStyle w:val="ConsPlusNormal"/>
        <w:ind w:firstLine="540"/>
        <w:jc w:val="both"/>
      </w:pPr>
      <w:r>
        <w:t>Основными задачами Программы являются:</w:t>
      </w:r>
    </w:p>
    <w:p w:rsidR="00C458DD" w:rsidRDefault="00C458DD">
      <w:pPr>
        <w:pStyle w:val="ConsPlusNormal"/>
        <w:ind w:firstLine="540"/>
        <w:jc w:val="both"/>
      </w:pPr>
      <w:r>
        <w:t>1. Обеспечение охраны, поддержания интеллектуальной собственности и защиты прав на нее.</w:t>
      </w:r>
    </w:p>
    <w:p w:rsidR="00C458DD" w:rsidRDefault="00C458DD">
      <w:pPr>
        <w:pStyle w:val="ConsPlusNormal"/>
        <w:ind w:firstLine="540"/>
        <w:jc w:val="both"/>
      </w:pPr>
      <w:r>
        <w:t>2. Формирование механизма вовлечения в хозяйственный оборот прав на результаты интеллектуальной деятельности.</w:t>
      </w:r>
    </w:p>
    <w:p w:rsidR="00C458DD" w:rsidRDefault="00C458DD">
      <w:pPr>
        <w:pStyle w:val="ConsPlusNormal"/>
        <w:ind w:firstLine="540"/>
        <w:jc w:val="both"/>
      </w:pPr>
      <w:r>
        <w:t>3. Инфраструктурное обеспечение процесса коммерциализации прав на результаты интеллектуальной деятельности (организационное, экономическое, кадровое, нормативно-правовое и другое).</w:t>
      </w:r>
    </w:p>
    <w:p w:rsidR="00C458DD" w:rsidRDefault="00C458DD">
      <w:pPr>
        <w:pStyle w:val="ConsPlusNormal"/>
        <w:ind w:firstLine="540"/>
        <w:jc w:val="both"/>
      </w:pPr>
      <w:r>
        <w:t>Цель и задачи Программы должны соответствовать приоритетным направлениям социально-экономического развития Республики Татарстан. В частности, реализация мероприятий Программы должна способствовать решению задачи совершенствования научно-технической и инновационной политики с учетом приоритетов развития эффективной инновационной системы Республики Татарстан.</w:t>
      </w:r>
    </w:p>
    <w:p w:rsidR="00C458DD" w:rsidRDefault="00C458DD">
      <w:pPr>
        <w:pStyle w:val="ConsPlusNormal"/>
        <w:ind w:firstLine="540"/>
        <w:jc w:val="both"/>
      </w:pPr>
      <w:r>
        <w:t>Основными индикаторами реализации Программы являются: удельный вес нематериальных активов в общей сумме активов предприятий и организаций;</w:t>
      </w:r>
    </w:p>
    <w:p w:rsidR="00C458DD" w:rsidRDefault="00C458DD">
      <w:pPr>
        <w:pStyle w:val="ConsPlusNormal"/>
        <w:ind w:firstLine="540"/>
        <w:jc w:val="both"/>
      </w:pPr>
      <w:r>
        <w:t xml:space="preserve">количество </w:t>
      </w:r>
      <w:proofErr w:type="spellStart"/>
      <w:r>
        <w:t>инновационно</w:t>
      </w:r>
      <w:proofErr w:type="spellEnd"/>
      <w:r>
        <w:t xml:space="preserve"> активных организаций.</w:t>
      </w:r>
    </w:p>
    <w:p w:rsidR="00C458DD" w:rsidRDefault="00C458DD">
      <w:pPr>
        <w:pStyle w:val="ConsPlusNormal"/>
        <w:ind w:firstLine="540"/>
        <w:jc w:val="both"/>
      </w:pPr>
      <w:r>
        <w:t>Индикаторы реализации Программы в рамках задачи обеспечения охраны, поддержания интеллектуальной собственности и защиты прав на нее:</w:t>
      </w:r>
    </w:p>
    <w:p w:rsidR="00C458DD" w:rsidRDefault="00C458DD">
      <w:pPr>
        <w:pStyle w:val="ConsPlusNormal"/>
        <w:ind w:firstLine="540"/>
        <w:jc w:val="both"/>
      </w:pPr>
      <w:r>
        <w:t>количество поданных заявок на объекты промышленной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>количество зарегистрированных объектов авторского права;</w:t>
      </w:r>
    </w:p>
    <w:p w:rsidR="00C458DD" w:rsidRDefault="00C458DD">
      <w:pPr>
        <w:pStyle w:val="ConsPlusNormal"/>
        <w:ind w:firstLine="540"/>
        <w:jc w:val="both"/>
      </w:pPr>
      <w:r>
        <w:t>количество зарегистрированных топологий интегральных микросхем;</w:t>
      </w:r>
    </w:p>
    <w:p w:rsidR="00C458DD" w:rsidRDefault="00C458DD">
      <w:pPr>
        <w:pStyle w:val="ConsPlusNormal"/>
        <w:ind w:firstLine="540"/>
        <w:jc w:val="both"/>
      </w:pPr>
      <w:r>
        <w:t>количество зарегистрированных селекционных достижений;</w:t>
      </w:r>
    </w:p>
    <w:p w:rsidR="00C458DD" w:rsidRDefault="00C458DD">
      <w:pPr>
        <w:pStyle w:val="ConsPlusNormal"/>
        <w:ind w:firstLine="540"/>
        <w:jc w:val="both"/>
      </w:pPr>
      <w:r>
        <w:t>количество зарегистрированных единых технологий;</w:t>
      </w:r>
    </w:p>
    <w:p w:rsidR="00C458DD" w:rsidRDefault="00C458DD">
      <w:pPr>
        <w:pStyle w:val="ConsPlusNormal"/>
        <w:ind w:firstLine="540"/>
        <w:jc w:val="both"/>
      </w:pPr>
      <w:r>
        <w:t>количество выданных охранных документов на объекты патентного права;</w:t>
      </w:r>
    </w:p>
    <w:p w:rsidR="00C458DD" w:rsidRDefault="00C458DD">
      <w:pPr>
        <w:pStyle w:val="ConsPlusNormal"/>
        <w:ind w:firstLine="540"/>
        <w:jc w:val="both"/>
      </w:pPr>
      <w:r>
        <w:t>количество зарегистрированных средств индивидуализации товаров, работ и услуг (товарных знаков, знаков обслуживания, наименований мест происхождения товаров);</w:t>
      </w:r>
    </w:p>
    <w:p w:rsidR="00C458DD" w:rsidRDefault="00C458DD">
      <w:pPr>
        <w:pStyle w:val="ConsPlusNormal"/>
        <w:ind w:firstLine="540"/>
        <w:jc w:val="both"/>
      </w:pPr>
      <w:r>
        <w:t>доля государственных и муниципальных контрактов (договоров), включающих раздел, регламентирующий закрепление прав на результаты интеллектуальной деятельности, от общего числа заключенных государственных и муниципальных контрактов (договоров);</w:t>
      </w:r>
    </w:p>
    <w:p w:rsidR="00C458DD" w:rsidRDefault="00C458DD">
      <w:pPr>
        <w:pStyle w:val="ConsPlusNormal"/>
        <w:ind w:firstLine="540"/>
        <w:jc w:val="both"/>
      </w:pPr>
      <w:r>
        <w:t>доля договоров о распоряжении исключительными правами на результаты интеллектуальной деятельности, полученные за счет средств бюджета Республики Татарстан, от общего числа договоров, заключенных уполномоченными на распоряжение такими правами органами и организациями.</w:t>
      </w:r>
    </w:p>
    <w:p w:rsidR="00C458DD" w:rsidRDefault="00C458DD">
      <w:pPr>
        <w:pStyle w:val="ConsPlusNormal"/>
        <w:ind w:firstLine="540"/>
        <w:jc w:val="both"/>
      </w:pPr>
      <w:r>
        <w:t>Индикаторы реализации Программы в рамках задачи формирования механизма вовлечения в хозяйственный оборот прав на результаты интеллектуальной деятельности:</w:t>
      </w:r>
    </w:p>
    <w:p w:rsidR="00C458DD" w:rsidRDefault="00C458DD">
      <w:pPr>
        <w:pStyle w:val="ConsPlusNormal"/>
        <w:ind w:firstLine="540"/>
        <w:jc w:val="both"/>
      </w:pPr>
      <w:r>
        <w:t>количество используемых собственных результатов интеллектуальной деятельности;</w:t>
      </w:r>
    </w:p>
    <w:p w:rsidR="00C458DD" w:rsidRDefault="00C458DD">
      <w:pPr>
        <w:pStyle w:val="ConsPlusNormal"/>
        <w:ind w:firstLine="540"/>
        <w:jc w:val="both"/>
      </w:pPr>
      <w:r>
        <w:t>количество заключенных договоров о распоряжении исключительными правами на результаты интеллектуальной деятельности на внутреннем рынке;</w:t>
      </w:r>
    </w:p>
    <w:p w:rsidR="00C458DD" w:rsidRDefault="00C458DD">
      <w:pPr>
        <w:pStyle w:val="ConsPlusNormal"/>
        <w:ind w:firstLine="540"/>
        <w:jc w:val="both"/>
      </w:pPr>
      <w:r>
        <w:lastRenderedPageBreak/>
        <w:t>количество лицензий, проданных за рубеж;</w:t>
      </w:r>
    </w:p>
    <w:p w:rsidR="00C458DD" w:rsidRDefault="00C458DD">
      <w:pPr>
        <w:pStyle w:val="ConsPlusNormal"/>
        <w:ind w:firstLine="540"/>
        <w:jc w:val="both"/>
      </w:pPr>
      <w:r>
        <w:t>количество лицензий, приобретенных из-за рубежа.</w:t>
      </w:r>
    </w:p>
    <w:p w:rsidR="00C458DD" w:rsidRDefault="00C458DD">
      <w:pPr>
        <w:pStyle w:val="ConsPlusNormal"/>
        <w:ind w:firstLine="540"/>
        <w:jc w:val="both"/>
      </w:pPr>
      <w:r>
        <w:t xml:space="preserve">Индикаторы реализации Программы в рамках </w:t>
      </w:r>
      <w:proofErr w:type="gramStart"/>
      <w:r>
        <w:t>задачи инфраструктурного обеспечения процесса коммерциализации прав</w:t>
      </w:r>
      <w:proofErr w:type="gramEnd"/>
      <w:r>
        <w:t xml:space="preserve"> на результаты интеллектуальной деятельности (организационное, экономическое, кадровое, нормативно-правовое и другое):</w:t>
      </w:r>
    </w:p>
    <w:p w:rsidR="00C458DD" w:rsidRDefault="00C458DD">
      <w:pPr>
        <w:pStyle w:val="ConsPlusNormal"/>
        <w:ind w:firstLine="540"/>
        <w:jc w:val="both"/>
      </w:pPr>
      <w:r>
        <w:t>обеспеченность квалифицированными кадрами в области охраны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 xml:space="preserve">доля </w:t>
      </w:r>
      <w:proofErr w:type="spellStart"/>
      <w:r>
        <w:t>инновационно</w:t>
      </w:r>
      <w:proofErr w:type="spellEnd"/>
      <w:r>
        <w:t xml:space="preserve"> активных организаций, имеющих собственные патентные и иные службы по охране интеллектуальной собственности, в общем количестве </w:t>
      </w:r>
      <w:proofErr w:type="spellStart"/>
      <w:r>
        <w:t>инновационно</w:t>
      </w:r>
      <w:proofErr w:type="spellEnd"/>
      <w:r>
        <w:t xml:space="preserve"> активных организаций.</w:t>
      </w:r>
    </w:p>
    <w:p w:rsidR="00C458DD" w:rsidRDefault="00C458DD">
      <w:pPr>
        <w:pStyle w:val="ConsPlusNormal"/>
        <w:ind w:firstLine="540"/>
        <w:jc w:val="both"/>
      </w:pPr>
      <w:r>
        <w:t xml:space="preserve">Подробное описание прогнозируемых значений индикаторов в разрезе целей и задач Программы с предложением периодичности их мониторинга и источника информации по значениям индикаторов приведены в </w:t>
      </w:r>
      <w:hyperlink w:anchor="P237" w:history="1">
        <w:r>
          <w:rPr>
            <w:color w:val="0000FF"/>
          </w:rPr>
          <w:t>приложении</w:t>
        </w:r>
      </w:hyperlink>
      <w:r>
        <w:t xml:space="preserve"> к настоящей Концепции.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3. Обоснование целесообразности решения проблемы</w:t>
      </w:r>
    </w:p>
    <w:p w:rsidR="00C458DD" w:rsidRDefault="00C458DD">
      <w:pPr>
        <w:pStyle w:val="ConsPlusNormal"/>
        <w:jc w:val="center"/>
      </w:pPr>
      <w:r>
        <w:t>программно-целевым методом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>Целесообразность применения программно-целевого метода в реализации мероприятий Программы обусловлена необходимостью консолидации усилий органов государственной власти, органов местного самоуправления, предприятий и организаций в развитии рынка интеллектуальной собственности Республики Татарстан.</w:t>
      </w:r>
    </w:p>
    <w:p w:rsidR="00C458DD" w:rsidRDefault="00C458DD">
      <w:pPr>
        <w:pStyle w:val="ConsPlusNormal"/>
        <w:ind w:firstLine="540"/>
        <w:jc w:val="both"/>
      </w:pPr>
      <w:r>
        <w:t>Разработка Программы позволит сконцентрировать усилия и ресурсы на решении проблем развития рынка интеллектуальной собственности, комплексном и системном подходе к решению приоритетных задач инновационного развития экономики Республики Татарстан.</w:t>
      </w:r>
    </w:p>
    <w:p w:rsidR="00C458DD" w:rsidRDefault="00C458DD">
      <w:pPr>
        <w:pStyle w:val="ConsPlusNormal"/>
        <w:ind w:firstLine="540"/>
        <w:jc w:val="both"/>
      </w:pPr>
      <w:r>
        <w:t>Использование программно-целевого метода позволит:</w:t>
      </w:r>
    </w:p>
    <w:p w:rsidR="00C458DD" w:rsidRDefault="00C458DD">
      <w:pPr>
        <w:pStyle w:val="ConsPlusNormal"/>
        <w:ind w:firstLine="540"/>
        <w:jc w:val="both"/>
      </w:pPr>
      <w:r>
        <w:t>осуществлять единую экономическую и научно-техническую политику в совершенствовании инновационной инфраструктуры;</w:t>
      </w:r>
    </w:p>
    <w:p w:rsidR="00C458DD" w:rsidRDefault="00C458DD">
      <w:pPr>
        <w:pStyle w:val="ConsPlusNormal"/>
        <w:ind w:firstLine="540"/>
        <w:jc w:val="both"/>
      </w:pPr>
      <w:proofErr w:type="gramStart"/>
      <w:r>
        <w:t>определить и скорректировать</w:t>
      </w:r>
      <w:proofErr w:type="gramEnd"/>
      <w:r>
        <w:t xml:space="preserve"> приоритеты, целевые критерии и пути развития рынка интеллектуальной собственности на каждом из этапов реализации Программы;</w:t>
      </w:r>
    </w:p>
    <w:p w:rsidR="00C458DD" w:rsidRDefault="00C458DD">
      <w:pPr>
        <w:pStyle w:val="ConsPlusNormal"/>
        <w:ind w:firstLine="540"/>
        <w:jc w:val="both"/>
      </w:pPr>
      <w:r>
        <w:t>обеспечить комплексный подход к развитию всех элементов рынка интеллектуальной собственности, а также эффективное взаимодействие и согласование экономических интересов хозяйствующих субъектов, участвующих в формировании и развитии рынка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>выработать оптимальные организационные, технические и экономические решения в сфере развития инновационной деятельности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использовать единую систему индикаторов для анализа, планирования и прогнозирования развития рынка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>повысить эффективность использования бюджетных средств за счет реализации мероприятий Программы, в том числе за счет координации работ и исключения дублирования финансирования научно-технических разработок;</w:t>
      </w:r>
    </w:p>
    <w:p w:rsidR="00C458DD" w:rsidRDefault="00C458DD">
      <w:pPr>
        <w:pStyle w:val="ConsPlusNormal"/>
        <w:ind w:firstLine="540"/>
        <w:jc w:val="both"/>
      </w:pPr>
      <w:r>
        <w:t>скоординировать мероприятия, направленные на снижение напряженности на рынке труда, в части сохранения и создания новых рабочих мест, повышения квалификации, переобучения персонала предприятий и организаций.</w:t>
      </w:r>
    </w:p>
    <w:p w:rsidR="00C458DD" w:rsidRDefault="00C458DD">
      <w:pPr>
        <w:pStyle w:val="ConsPlusNormal"/>
        <w:ind w:firstLine="540"/>
        <w:jc w:val="both"/>
      </w:pPr>
      <w:r>
        <w:t>Таким образом, наилучшей формой решения задачи широкомасштабного внедрения программных мероприятий представляется реализация Программы, скоординированной с соответствующими программами интеграции научно-технических разработок и производства на федеральном и региональном уровнях. Это может стать решающим фактором перехода предприятий и организаций республики, в первую очередь наукоемкого машиностроения, на новый уровень развития.</w:t>
      </w:r>
    </w:p>
    <w:p w:rsidR="00C458DD" w:rsidRDefault="00C458DD">
      <w:pPr>
        <w:pStyle w:val="ConsPlusNormal"/>
        <w:ind w:firstLine="540"/>
        <w:jc w:val="both"/>
      </w:pPr>
      <w:r>
        <w:t xml:space="preserve">Применение программно-целевого метода позволит </w:t>
      </w:r>
      <w:proofErr w:type="gramStart"/>
      <w:r>
        <w:t>избежать</w:t>
      </w:r>
      <w:proofErr w:type="gramEnd"/>
      <w:r>
        <w:t xml:space="preserve"> такие возможные негативные последствия и риски, как:</w:t>
      </w:r>
    </w:p>
    <w:p w:rsidR="00C458DD" w:rsidRDefault="00C458DD">
      <w:pPr>
        <w:pStyle w:val="ConsPlusNormal"/>
        <w:ind w:firstLine="540"/>
        <w:jc w:val="both"/>
      </w:pPr>
      <w:r>
        <w:t>замедление темпов роста промышленного производства;</w:t>
      </w:r>
    </w:p>
    <w:p w:rsidR="00C458DD" w:rsidRDefault="00C458DD">
      <w:pPr>
        <w:pStyle w:val="ConsPlusNormal"/>
        <w:ind w:firstLine="540"/>
        <w:jc w:val="both"/>
      </w:pPr>
      <w:r>
        <w:t>уменьшение инновационной составляющей на предприятиях;</w:t>
      </w:r>
    </w:p>
    <w:p w:rsidR="00C458DD" w:rsidRDefault="00C458DD">
      <w:pPr>
        <w:pStyle w:val="ConsPlusNormal"/>
        <w:ind w:firstLine="540"/>
        <w:jc w:val="both"/>
      </w:pPr>
      <w:proofErr w:type="gramStart"/>
      <w:r>
        <w:t xml:space="preserve">рост социальной напряженности на рынке труда, обусловленный недостаточной адаптацией </w:t>
      </w:r>
      <w:r>
        <w:lastRenderedPageBreak/>
        <w:t>выпускников учреждений высшего профессионального образования и специалистов предприятий к модернизации производственных процессов;</w:t>
      </w:r>
      <w:proofErr w:type="gramEnd"/>
    </w:p>
    <w:p w:rsidR="00C458DD" w:rsidRDefault="00C458DD">
      <w:pPr>
        <w:pStyle w:val="ConsPlusNormal"/>
        <w:ind w:firstLine="540"/>
        <w:jc w:val="both"/>
      </w:pPr>
      <w:r>
        <w:t>снижение показателей эффективности деятельности предприятий и организаций Республики Татарстан (конкурентоспособности продукции, производительности труда, фондоотдачи);</w:t>
      </w:r>
    </w:p>
    <w:p w:rsidR="00C458DD" w:rsidRDefault="00C458DD">
      <w:pPr>
        <w:pStyle w:val="ConsPlusNormal"/>
        <w:ind w:firstLine="540"/>
        <w:jc w:val="both"/>
      </w:pPr>
      <w:r>
        <w:t>недостаточное внедрение современных информационных технологий в инновационную сферу;</w:t>
      </w:r>
    </w:p>
    <w:p w:rsidR="00C458DD" w:rsidRDefault="00C458DD">
      <w:pPr>
        <w:pStyle w:val="ConsPlusNormal"/>
        <w:ind w:firstLine="540"/>
        <w:jc w:val="both"/>
      </w:pPr>
      <w:r>
        <w:t>замедление интеграции промышленных предприятий Республики Татарстан в мировую экономику.</w:t>
      </w:r>
    </w:p>
    <w:p w:rsidR="00C458DD" w:rsidRDefault="00C458DD">
      <w:pPr>
        <w:pStyle w:val="ConsPlusNormal"/>
        <w:ind w:firstLine="540"/>
        <w:jc w:val="both"/>
      </w:pPr>
      <w:r>
        <w:t>Таким образом, программно-целевые методы реализации мероприятий Программы будут способствовать координации и системному подходу к развитию интеллектуальной собственности в Республике Татарстан.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 xml:space="preserve">4. Риски, возникающие при различных </w:t>
      </w:r>
      <w:proofErr w:type="gramStart"/>
      <w:r>
        <w:t>вариантах</w:t>
      </w:r>
      <w:proofErr w:type="gramEnd"/>
    </w:p>
    <w:p w:rsidR="00C458DD" w:rsidRDefault="00C458DD">
      <w:pPr>
        <w:pStyle w:val="ConsPlusNormal"/>
        <w:jc w:val="center"/>
      </w:pPr>
      <w:r>
        <w:t>реализации Программы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 xml:space="preserve">При реализации Программы могут возникнуть риски, связанные </w:t>
      </w:r>
      <w:proofErr w:type="gramStart"/>
      <w:r>
        <w:t>с</w:t>
      </w:r>
      <w:proofErr w:type="gramEnd"/>
      <w:r>
        <w:t>:</w:t>
      </w:r>
    </w:p>
    <w:p w:rsidR="00C458DD" w:rsidRDefault="00C458DD">
      <w:pPr>
        <w:pStyle w:val="ConsPlusNormal"/>
        <w:ind w:firstLine="540"/>
        <w:jc w:val="both"/>
      </w:pPr>
      <w:r>
        <w:t>недостатками в управлении Программой;</w:t>
      </w:r>
    </w:p>
    <w:p w:rsidR="00C458DD" w:rsidRDefault="00C458DD">
      <w:pPr>
        <w:pStyle w:val="ConsPlusNormal"/>
        <w:ind w:firstLine="540"/>
        <w:jc w:val="both"/>
      </w:pPr>
      <w:r>
        <w:t>отсутствием заинтересованности предприятий в дальнейшей последовательной реализации мероприятий Программы;</w:t>
      </w:r>
    </w:p>
    <w:p w:rsidR="00C458DD" w:rsidRDefault="00C458DD">
      <w:pPr>
        <w:pStyle w:val="ConsPlusNormal"/>
        <w:ind w:firstLine="540"/>
        <w:jc w:val="both"/>
      </w:pPr>
      <w:r>
        <w:t>неверно выбранными приоритетами развития промышленного, научно-технического комплекса республики.</w:t>
      </w:r>
    </w:p>
    <w:p w:rsidR="00C458DD" w:rsidRDefault="00C458DD">
      <w:pPr>
        <w:pStyle w:val="ConsPlusNormal"/>
        <w:ind w:firstLine="540"/>
        <w:jc w:val="both"/>
      </w:pPr>
      <w:r>
        <w:t>Риски, связанные с недостатками в управлении Программой, могут быть вызваны слабой координацией действий хозяйствующих субъектов - участников проекта, что приведет к возникновению диспропорций в ресурсной поддержке реализации намеченных мероприятий, их неоправданному дублированию и снижению эффективности использования средств.</w:t>
      </w:r>
    </w:p>
    <w:p w:rsidR="00C458DD" w:rsidRDefault="00C458DD">
      <w:pPr>
        <w:pStyle w:val="ConsPlusNormal"/>
        <w:ind w:firstLine="540"/>
        <w:jc w:val="both"/>
      </w:pPr>
      <w:r>
        <w:t xml:space="preserve">Ошибки при </w:t>
      </w:r>
      <w:proofErr w:type="gramStart"/>
      <w:r>
        <w:t>выборе</w:t>
      </w:r>
      <w:proofErr w:type="gramEnd"/>
      <w:r>
        <w:t xml:space="preserve"> механизмов управленческой корректировки программных мероприятий могут привести к недостаточной координации деятельности их заказчиков и исполнителей, нецелевому использованию средств или их неэффективному расходованию.</w:t>
      </w:r>
    </w:p>
    <w:p w:rsidR="00C458DD" w:rsidRDefault="00C458DD">
      <w:pPr>
        <w:pStyle w:val="ConsPlusNormal"/>
        <w:ind w:firstLine="540"/>
        <w:jc w:val="both"/>
      </w:pPr>
      <w:r>
        <w:t>Кроме того, на ход реализации Программы могут оказать существенное влияние следующие риски:</w:t>
      </w:r>
    </w:p>
    <w:p w:rsidR="00C458DD" w:rsidRDefault="00C458DD">
      <w:pPr>
        <w:pStyle w:val="ConsPlusNormal"/>
        <w:ind w:firstLine="540"/>
        <w:jc w:val="both"/>
      </w:pPr>
      <w:r>
        <w:t>макроэкономические риски, связанные с возможностью снижения темпов роста экономики и уровня инвестиционной активности, кризиса банковской системы, возникновения бюджетного дефицита. Уменьшение этого вида рисков напрямую зависит от диверсификации как российской экономики в целом, так и Республики Татарстан в частности, увеличения структурной доли высокотехнологичной продукции с высокой добавленной стоимостью;</w:t>
      </w:r>
    </w:p>
    <w:p w:rsidR="00C458DD" w:rsidRDefault="00C458DD">
      <w:pPr>
        <w:pStyle w:val="ConsPlusNormal"/>
        <w:ind w:firstLine="540"/>
        <w:jc w:val="both"/>
      </w:pPr>
      <w:r>
        <w:t>риски, связанные с технической и нормативной правовой поддержкой развития инновационной инфраструктуры республики. Эффективное и динамичное развитие инновационной экономики Республики Татарстан, конкурентоспособность республиканских предприятий во многом зависят от динамики принятия федеральных и республиканских нормативных правовых актов.</w:t>
      </w:r>
    </w:p>
    <w:p w:rsidR="00C458DD" w:rsidRDefault="00C458DD">
      <w:pPr>
        <w:pStyle w:val="ConsPlusNormal"/>
        <w:ind w:firstLine="540"/>
        <w:jc w:val="both"/>
      </w:pPr>
      <w:r>
        <w:t>Разработка Программы дополнит действующие механизмы системы принятия решений, создаст новые возможности развития субъектов инновационной инфраструктуры.</w:t>
      </w:r>
    </w:p>
    <w:p w:rsidR="00C458DD" w:rsidRDefault="00C458DD">
      <w:pPr>
        <w:pStyle w:val="ConsPlusNormal"/>
        <w:ind w:firstLine="540"/>
        <w:jc w:val="both"/>
      </w:pPr>
      <w:r>
        <w:t xml:space="preserve">Риски, связанные с отсутствием заинтересованности предприятий в дальнейшем последовательном внедрении программных мероприятий, минимизируются требованиями глобальных изменений в мировой экономике. </w:t>
      </w:r>
      <w:proofErr w:type="gramStart"/>
      <w:r>
        <w:t>Необходимое повышение конкурентоспособности республиканских товаропроизводителей на отечественном и зарубежных рынках должно основываться на осознании получения экономических преимуществ от инновационной деятельности за счет освоения современных методов ведения бизнеса, конкурентной борьбы, базирующихся на эффективном управлении интеллектуальной собственностью.</w:t>
      </w:r>
      <w:proofErr w:type="gramEnd"/>
    </w:p>
    <w:p w:rsidR="00C458DD" w:rsidRDefault="00C458DD">
      <w:pPr>
        <w:pStyle w:val="ConsPlusNormal"/>
        <w:ind w:firstLine="540"/>
        <w:jc w:val="both"/>
      </w:pPr>
      <w:r>
        <w:t xml:space="preserve">Необходимо установление прочных связей между производителями, поставщиками и потребителями, которые должны быть объединены в одну систему как в республике, так и на российском и международном рынках. Обеспечение инновационного прорыва предполагает интенсивную подготовку кадров в сфере интеллектуальной собственности, инновационного </w:t>
      </w:r>
      <w:r>
        <w:lastRenderedPageBreak/>
        <w:t>менеджмента.</w:t>
      </w:r>
    </w:p>
    <w:p w:rsidR="00C458DD" w:rsidRDefault="00C458DD">
      <w:pPr>
        <w:pStyle w:val="ConsPlusNormal"/>
        <w:ind w:firstLine="540"/>
        <w:jc w:val="both"/>
      </w:pPr>
      <w:r>
        <w:t xml:space="preserve">Риски, связанные с неверно выбранными приоритетами развития промышленного, научно-технического комплекса республики, устраняются постоянным мониторингом хода реализации Программы. Недостаточный учет результатов мониторинговых исследований может существенно повлиять на объективность принятия решений при </w:t>
      </w:r>
      <w:proofErr w:type="gramStart"/>
      <w:r>
        <w:t>планировании</w:t>
      </w:r>
      <w:proofErr w:type="gramEnd"/>
      <w:r>
        <w:t xml:space="preserve"> программных мероприятий, что приведет к отсутствию их привязки к реальной ситуации. Риск недостаточной гибкости и </w:t>
      </w:r>
      <w:proofErr w:type="spellStart"/>
      <w:r>
        <w:t>адаптируемости</w:t>
      </w:r>
      <w:proofErr w:type="spellEnd"/>
      <w:r>
        <w:t xml:space="preserve"> Программы к изменениям внешних условий должен быть минимизирован при своевременном выявлении сбоев в достижении запланированных результатов, оперативной корректировке задач и конкретных механизмов достижения целей Программы.</w:t>
      </w:r>
    </w:p>
    <w:p w:rsidR="00C458DD" w:rsidRDefault="00C458DD">
      <w:pPr>
        <w:pStyle w:val="ConsPlusNormal"/>
        <w:ind w:firstLine="540"/>
        <w:jc w:val="both"/>
      </w:pPr>
      <w:r>
        <w:t>Риск неэффективного контроля ожидаемых результатов реализации программных мероприятий минимизируется четкой и эффективной организацией управления Программой на основе планов, оценки их ожидаемого выполнения, количественных индикаторов достижения целей, контроля качества управления Программой в целом и отдельными ее мероприятиями.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5. Основные мероприятия Программы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>Программные мероприятия в рамках решения задачи обеспечения охраны, поддержания интеллектуальной собственности и защиты прав на нее:</w:t>
      </w:r>
    </w:p>
    <w:p w:rsidR="00C458DD" w:rsidRDefault="00C458DD">
      <w:pPr>
        <w:pStyle w:val="ConsPlusNormal"/>
        <w:ind w:firstLine="540"/>
        <w:jc w:val="both"/>
      </w:pPr>
      <w:r>
        <w:t>проведение стратегического анализа и планирования научно-технической деятельности;</w:t>
      </w:r>
    </w:p>
    <w:p w:rsidR="00C458DD" w:rsidRDefault="00C458DD">
      <w:pPr>
        <w:pStyle w:val="ConsPlusNormal"/>
        <w:ind w:firstLine="540"/>
        <w:jc w:val="both"/>
      </w:pPr>
      <w:r>
        <w:t>обеспечение эффективной правовой охраны и защиты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 xml:space="preserve">формирование системы </w:t>
      </w:r>
      <w:proofErr w:type="gramStart"/>
      <w:r>
        <w:t>контроля за</w:t>
      </w:r>
      <w:proofErr w:type="gramEnd"/>
      <w:r>
        <w:t xml:space="preserve"> созданием и использованием результатов интеллектуальной деятельности.</w:t>
      </w:r>
    </w:p>
    <w:p w:rsidR="00C458DD" w:rsidRDefault="00C458DD">
      <w:pPr>
        <w:pStyle w:val="ConsPlusNormal"/>
        <w:ind w:firstLine="540"/>
        <w:jc w:val="both"/>
      </w:pPr>
      <w:r>
        <w:t xml:space="preserve">Программные мероприятия в рамках </w:t>
      </w:r>
      <w:proofErr w:type="gramStart"/>
      <w:r>
        <w:t>решения задачи формирования механизма вовлечения</w:t>
      </w:r>
      <w:proofErr w:type="gramEnd"/>
      <w:r>
        <w:t xml:space="preserve"> в хозяйственный оборот прав на результаты интеллектуальной деятельности:</w:t>
      </w:r>
    </w:p>
    <w:p w:rsidR="00C458DD" w:rsidRDefault="00C458DD">
      <w:pPr>
        <w:pStyle w:val="ConsPlusNormal"/>
        <w:ind w:firstLine="540"/>
        <w:jc w:val="both"/>
      </w:pPr>
      <w:r>
        <w:t>внедрение системы государственного учета результатов научно-исследовательских, опытно-конструкторских и технологических работ гражданского назначения и создание единого реестра объектов интеллектуальной собственности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 xml:space="preserve">проведение инвентаризации, экспертизы и выявление </w:t>
      </w:r>
      <w:proofErr w:type="spellStart"/>
      <w:r>
        <w:t>охраноспособных</w:t>
      </w:r>
      <w:proofErr w:type="spellEnd"/>
      <w:r>
        <w:t xml:space="preserve"> результатов интеллектуальной деятельности, а также оценка результатов интеллектуальной деятельности и принятия их в качестве нематериального актива;</w:t>
      </w:r>
    </w:p>
    <w:p w:rsidR="00C458DD" w:rsidRDefault="00C458DD">
      <w:pPr>
        <w:pStyle w:val="ConsPlusNormal"/>
        <w:ind w:firstLine="540"/>
        <w:jc w:val="both"/>
      </w:pPr>
      <w:r>
        <w:t>внедрение современных методов менеджмента в области управления правами на интеллектуальную собственность на ведомственном (отраслевом) уровне, на предприятиях и в организациях (наука, образование, производство, культура, сфера услуг и др.) с учетом мирового опыта.</w:t>
      </w:r>
    </w:p>
    <w:p w:rsidR="00C458DD" w:rsidRDefault="00C458DD">
      <w:pPr>
        <w:pStyle w:val="ConsPlusNormal"/>
        <w:ind w:firstLine="540"/>
        <w:jc w:val="both"/>
      </w:pPr>
      <w:r>
        <w:t xml:space="preserve">Программные мероприятия в рамках </w:t>
      </w:r>
      <w:proofErr w:type="gramStart"/>
      <w:r>
        <w:t>решения задачи инфраструктурного обеспечения процесса коммерциализации прав</w:t>
      </w:r>
      <w:proofErr w:type="gramEnd"/>
      <w:r>
        <w:t xml:space="preserve"> на результаты интеллектуальной деятельности (организационное, экономическое, кадровое, нормативно-правовое и т.д.):</w:t>
      </w:r>
    </w:p>
    <w:p w:rsidR="00C458DD" w:rsidRDefault="00C458DD">
      <w:pPr>
        <w:pStyle w:val="ConsPlusNormal"/>
        <w:ind w:firstLine="540"/>
        <w:jc w:val="both"/>
      </w:pPr>
      <w:r>
        <w:t>интеграция в инновационную политику механизмов управления интеллектуальной собственностью;</w:t>
      </w:r>
    </w:p>
    <w:p w:rsidR="00C458DD" w:rsidRDefault="00C458DD">
      <w:pPr>
        <w:pStyle w:val="ConsPlusNormal"/>
        <w:ind w:firstLine="540"/>
        <w:jc w:val="both"/>
      </w:pPr>
      <w:r>
        <w:t>создание и развитие нормативно-правовой базы в сфере интеллектуальной собственности в пределах компетенции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развитие инфраструктуры в сфере интеллектуальной собственности (укрепление патентных служб, развитие образования, структур по коммерциализации интеллектуальной собственности, правоохранительной деятельности, оказанию услуг в сфере интеллектуальной собственности и др.);</w:t>
      </w:r>
    </w:p>
    <w:p w:rsidR="00C458DD" w:rsidRDefault="00C458DD">
      <w:pPr>
        <w:pStyle w:val="ConsPlusNormal"/>
        <w:ind w:firstLine="540"/>
        <w:jc w:val="both"/>
      </w:pPr>
      <w:r>
        <w:t>создание на базе государственного унитарного предприятия "Татарстанский центр научно-технической информации" центра поддержки технологий и инноваций;</w:t>
      </w:r>
    </w:p>
    <w:p w:rsidR="00C458DD" w:rsidRDefault="00C458DD">
      <w:pPr>
        <w:pStyle w:val="ConsPlusNormal"/>
        <w:ind w:firstLine="540"/>
        <w:jc w:val="both"/>
      </w:pPr>
      <w:r>
        <w:t>формирование системы информационной поддержки инновационной, научной и производственной деятельности в Республике Татарстан;</w:t>
      </w:r>
    </w:p>
    <w:p w:rsidR="00C458DD" w:rsidRDefault="00C458DD">
      <w:pPr>
        <w:pStyle w:val="ConsPlusNormal"/>
        <w:ind w:firstLine="540"/>
        <w:jc w:val="both"/>
      </w:pPr>
      <w:r>
        <w:t>подготовка квалифицированных специалистов в сфере управления интеллектуальной собственностью;</w:t>
      </w:r>
    </w:p>
    <w:p w:rsidR="00C458DD" w:rsidRDefault="00C458DD">
      <w:pPr>
        <w:pStyle w:val="ConsPlusNormal"/>
        <w:ind w:firstLine="540"/>
        <w:jc w:val="both"/>
      </w:pPr>
      <w:r>
        <w:t>межрегиональное и международное сотрудничество Республики Татарстан в области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 xml:space="preserve">развитие </w:t>
      </w:r>
      <w:proofErr w:type="spellStart"/>
      <w:r>
        <w:t>брендинга</w:t>
      </w:r>
      <w:proofErr w:type="spellEnd"/>
      <w:r>
        <w:t xml:space="preserve"> Республики Татарстан, выявление и повышение конкурентоспособности </w:t>
      </w:r>
      <w:r>
        <w:lastRenderedPageBreak/>
        <w:t>перспективных секторов экономики и направлений хозяйственной деятельности на основе управления интеллектуальной собственностью.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6. Ориентировочные сроки и этапы реализации Программы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>Сроки действия Программы:</w:t>
      </w:r>
    </w:p>
    <w:p w:rsidR="00C458DD" w:rsidRDefault="00C458DD">
      <w:pPr>
        <w:pStyle w:val="ConsPlusNormal"/>
        <w:ind w:firstLine="540"/>
        <w:jc w:val="both"/>
      </w:pPr>
      <w:r>
        <w:t>Программа должна быть реализована с 2012 по 2020 год в два этапа:</w:t>
      </w:r>
    </w:p>
    <w:p w:rsidR="00C458DD" w:rsidRDefault="00C458DD">
      <w:pPr>
        <w:pStyle w:val="ConsPlusNormal"/>
        <w:ind w:firstLine="540"/>
        <w:jc w:val="both"/>
      </w:pPr>
      <w:r>
        <w:t>I этап "Формирование организационно-правового механизма создания рынка интеллектуальной собственности": 2012 - 2015 годы;</w:t>
      </w:r>
    </w:p>
    <w:p w:rsidR="00C458DD" w:rsidRDefault="00C458DD">
      <w:pPr>
        <w:pStyle w:val="ConsPlusNormal"/>
        <w:ind w:firstLine="540"/>
        <w:jc w:val="both"/>
      </w:pPr>
      <w:r>
        <w:t>II этап "Повышение эффективности функционирования рынка интеллектуальной собственности": 2016 - 2020 годы.</w:t>
      </w:r>
    </w:p>
    <w:p w:rsidR="00C458DD" w:rsidRDefault="00C458DD">
      <w:pPr>
        <w:pStyle w:val="ConsPlusNormal"/>
        <w:ind w:firstLine="540"/>
        <w:jc w:val="both"/>
      </w:pPr>
      <w:r>
        <w:t>Базовые стратегические ориентиры:</w:t>
      </w:r>
    </w:p>
    <w:p w:rsidR="00C458DD" w:rsidRDefault="00C458DD">
      <w:pPr>
        <w:pStyle w:val="ConsPlusNormal"/>
        <w:ind w:firstLine="540"/>
        <w:jc w:val="both"/>
      </w:pPr>
      <w:r>
        <w:t>на I этапе - создание и развитие необходимых институциональных основ функционирования современной системы управления интеллектуальной собственностью (формирование и укрепление служб интеллектуальной собственности, стимулирующих механизмов и другое);</w:t>
      </w:r>
    </w:p>
    <w:p w:rsidR="00C458DD" w:rsidRDefault="00C458DD">
      <w:pPr>
        <w:pStyle w:val="ConsPlusNormal"/>
        <w:ind w:firstLine="540"/>
        <w:jc w:val="both"/>
      </w:pPr>
      <w:r>
        <w:t>на II этапе - системная интеграция современных инструментов управления интеллектуальной собственностью в экономическую политику Республики Татарстан и каждого субъекта хозяйствования, интеграция институциональной системы республики в мировое сообщество.</w:t>
      </w:r>
    </w:p>
    <w:p w:rsidR="00C458DD" w:rsidRDefault="00C458DD">
      <w:pPr>
        <w:pStyle w:val="ConsPlusNormal"/>
        <w:ind w:firstLine="540"/>
        <w:jc w:val="both"/>
      </w:pPr>
      <w:r>
        <w:t>Программа должна состоять из перечня организационно-управленческих мероприятий, инвестиционных и инновационных проектов, взаимосвязанных по ресурсам, срокам и исполнителям, реализация которых направлена на повышение эффективности и конкурентоспособности отраслей экономики Республики Татарстан.</w:t>
      </w:r>
    </w:p>
    <w:p w:rsidR="00C458DD" w:rsidRDefault="00C458DD">
      <w:pPr>
        <w:pStyle w:val="ConsPlusNormal"/>
        <w:ind w:firstLine="540"/>
        <w:jc w:val="both"/>
      </w:pPr>
      <w:r>
        <w:t>Предложения Программы должны быть внедрены в Республике Татарстан в качестве пилотного проекта с последующим широким распространением опыта Республики Татарстан в регионах Российской Федерации и созданием единой российской системы рынка интеллектуальной собственности, интегрируемой в мировое сообщество.</w:t>
      </w:r>
    </w:p>
    <w:p w:rsidR="00C458DD" w:rsidRDefault="00C458DD">
      <w:pPr>
        <w:pStyle w:val="ConsPlusNormal"/>
        <w:ind w:firstLine="540"/>
        <w:jc w:val="both"/>
      </w:pPr>
      <w:r>
        <w:t>В рамках I этапа "Формирование организационно-правового механизма создания рынка интеллектуальной собственности" должны быть решены следующие вопросы:</w:t>
      </w:r>
    </w:p>
    <w:p w:rsidR="00C458DD" w:rsidRDefault="00C458DD">
      <w:pPr>
        <w:pStyle w:val="ConsPlusNormal"/>
        <w:ind w:firstLine="540"/>
        <w:jc w:val="both"/>
      </w:pPr>
      <w:r>
        <w:t>В 2012 - 2013 годах:</w:t>
      </w:r>
    </w:p>
    <w:p w:rsidR="00C458DD" w:rsidRDefault="00C458DD">
      <w:pPr>
        <w:pStyle w:val="ConsPlusNormal"/>
        <w:ind w:firstLine="540"/>
        <w:jc w:val="both"/>
      </w:pPr>
      <w:r>
        <w:t>1) разработка и принятие в пределах компетенции Республики Татарстан нормативных правовых актов в сфере интеллектуальной собственности и методических основ эффективного управления и коммерциализации результатов интеллектуальной деятельности в Республике Татарстан:</w:t>
      </w:r>
    </w:p>
    <w:p w:rsidR="00C458DD" w:rsidRDefault="00C458DD">
      <w:pPr>
        <w:pStyle w:val="ConsPlusNormal"/>
        <w:ind w:firstLine="540"/>
        <w:jc w:val="both"/>
      </w:pPr>
      <w:r>
        <w:t>постановления Кабинета Министров Республики Татарстан, устанавливающего порядок закрепления прав Республики Татарстан на результаты интеллектуальной деятельности, полученные за счет средств бюджета Республики Татарстан, и распоряжения ими;</w:t>
      </w:r>
    </w:p>
    <w:p w:rsidR="00C458DD" w:rsidRDefault="00C458DD">
      <w:pPr>
        <w:pStyle w:val="ConsPlusNormal"/>
        <w:ind w:firstLine="540"/>
        <w:jc w:val="both"/>
      </w:pPr>
      <w:r>
        <w:t>методических рекомендаций по распределению прав на результаты интеллектуальной деятельности в Республике Татарстан;</w:t>
      </w:r>
    </w:p>
    <w:p w:rsidR="00C458DD" w:rsidRDefault="00C458DD">
      <w:pPr>
        <w:pStyle w:val="ConsPlusNormal"/>
        <w:ind w:firstLine="540"/>
        <w:jc w:val="both"/>
      </w:pPr>
      <w:r>
        <w:t>методических рекомендаций по представлению сведений о результатах научно-исследовательских, опытно-конструкторских и технологических работ гражданского назначения в Республике Татарстан, необходимых для их государственного учета;</w:t>
      </w:r>
    </w:p>
    <w:p w:rsidR="00C458DD" w:rsidRDefault="00C458DD">
      <w:pPr>
        <w:pStyle w:val="ConsPlusNormal"/>
        <w:ind w:firstLine="540"/>
        <w:jc w:val="both"/>
      </w:pPr>
      <w:r>
        <w:t>соглашения о сотрудничестве между Федеральной службой по интеллектуальной собственности (далее - Роспатент) и Правительством Республики Татарстан по вопросам оказания государственных услуг по приему документов заявок на результаты интеллектуальной деятельности и приравненные к ним средства индивидуализации в Многофункциональном центре предоставления государственных и муниципальных услуг г. Казани;</w:t>
      </w:r>
    </w:p>
    <w:p w:rsidR="00C458DD" w:rsidRDefault="00C458DD">
      <w:pPr>
        <w:pStyle w:val="ConsPlusNormal"/>
        <w:ind w:firstLine="540"/>
        <w:jc w:val="both"/>
      </w:pPr>
      <w:r>
        <w:t>договора о взаимодействии федерального государственного бюджетного учреждения "Федеральный институт промышленной собственности" Роспатента и Многофункционального центра предоставления государственных и муниципальных услуг г. Казани по вопросу приема документов заявок на результаты интеллектуальной деятельности и приравненные к ним средства индивидуализации;</w:t>
      </w:r>
    </w:p>
    <w:p w:rsidR="00C458DD" w:rsidRDefault="00C458DD">
      <w:pPr>
        <w:pStyle w:val="ConsPlusNormal"/>
        <w:ind w:firstLine="540"/>
        <w:jc w:val="both"/>
      </w:pPr>
      <w:r>
        <w:t>положения о центре поддержки технологий и инноваций;</w:t>
      </w:r>
    </w:p>
    <w:p w:rsidR="00C458DD" w:rsidRDefault="00C458DD">
      <w:pPr>
        <w:pStyle w:val="ConsPlusNormal"/>
        <w:ind w:firstLine="540"/>
        <w:jc w:val="both"/>
      </w:pPr>
      <w:r>
        <w:t xml:space="preserve">методических рекомендаций по вопросам развития системы коммерциализации, охраны и </w:t>
      </w:r>
      <w:r>
        <w:lastRenderedPageBreak/>
        <w:t>защиты результатов научно-технической деятельности на предприятиях и в организациях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 xml:space="preserve">3) создание на основании </w:t>
      </w:r>
      <w:proofErr w:type="gramStart"/>
      <w:r>
        <w:t>итогов проведенной инвентаризации единого реестра результатов интеллектуальной деятельности Республики</w:t>
      </w:r>
      <w:proofErr w:type="gramEnd"/>
      <w:r>
        <w:t xml:space="preserve"> Татарстан, содержащих их количественные, стоимостные, правовые характеристики;</w:t>
      </w:r>
    </w:p>
    <w:p w:rsidR="00C458DD" w:rsidRDefault="00C458DD">
      <w:pPr>
        <w:pStyle w:val="ConsPlusNormal"/>
        <w:ind w:firstLine="540"/>
        <w:jc w:val="both"/>
      </w:pPr>
      <w:r>
        <w:t>4) создание на базе государственного унитарного предприятия "Татарстанский центр научно-технической информации" центра поддержки технологий и инноваций;</w:t>
      </w:r>
    </w:p>
    <w:p w:rsidR="00C458DD" w:rsidRDefault="00C458DD">
      <w:pPr>
        <w:pStyle w:val="ConsPlusNormal"/>
        <w:ind w:firstLine="540"/>
        <w:jc w:val="both"/>
      </w:pPr>
      <w:r>
        <w:t>5) разработка методов формирования и использования специализированных электронных баз данных республиканского фонда информационных ресурсов развития научно-технической информации на основе формируемой автоматизированной информационно-аналитической системы "Банк данных "Интеллектуальный потенциал Республики Татарстан";</w:t>
      </w:r>
    </w:p>
    <w:p w:rsidR="00C458DD" w:rsidRDefault="00C458DD">
      <w:pPr>
        <w:pStyle w:val="ConsPlusNormal"/>
        <w:ind w:firstLine="540"/>
        <w:jc w:val="both"/>
      </w:pPr>
      <w:r>
        <w:t>6) организация процессов подготовки и переподготовки кадров всех субъектов инновационного пространства Республики Татарстан, в том числе:</w:t>
      </w:r>
    </w:p>
    <w:p w:rsidR="00C458DD" w:rsidRDefault="00C458DD">
      <w:pPr>
        <w:pStyle w:val="ConsPlusNormal"/>
        <w:ind w:firstLine="540"/>
        <w:jc w:val="both"/>
      </w:pPr>
      <w:r>
        <w:t>создание и развитие учебных центров по подготовке, повышению квалификации и переподготовке специалистов в области интеллектуальной собственности на базе профильных образовательных и научных учреждений;</w:t>
      </w:r>
    </w:p>
    <w:p w:rsidR="00C458DD" w:rsidRDefault="00C458DD">
      <w:pPr>
        <w:pStyle w:val="ConsPlusNormal"/>
        <w:ind w:firstLine="540"/>
        <w:jc w:val="both"/>
      </w:pPr>
      <w:proofErr w:type="gramStart"/>
      <w:r>
        <w:t>формирование учебными центрами единого, адаптированного к предприятиям и организациям республики учебного курса, состоящего из подпрограмм обучения работников и топ-менеджеров всех уровней, на базе научно-методических разработок, согласованных с Роспатентом, Министерством образования и науки Российской Федерации, Министерством образования и науки Республики Татарстан, Министерством экономики Республики Татарстан, Министерством промышленности и торговли Республики Татарстан, Министерством культуры Республики Татарстан;</w:t>
      </w:r>
      <w:proofErr w:type="gramEnd"/>
    </w:p>
    <w:p w:rsidR="00C458DD" w:rsidRDefault="00C458DD">
      <w:pPr>
        <w:pStyle w:val="ConsPlusNormal"/>
        <w:ind w:firstLine="540"/>
        <w:jc w:val="both"/>
      </w:pPr>
      <w:r>
        <w:t>проведение практических семинаров-тренингов с участием руководства предприятий и организаций по результатам внедрения программных мероприятий;</w:t>
      </w:r>
    </w:p>
    <w:p w:rsidR="00C458DD" w:rsidRDefault="00C458DD">
      <w:pPr>
        <w:pStyle w:val="ConsPlusNormal"/>
        <w:ind w:firstLine="540"/>
        <w:jc w:val="both"/>
      </w:pPr>
      <w:r>
        <w:t xml:space="preserve">7) разработка </w:t>
      </w:r>
      <w:proofErr w:type="gramStart"/>
      <w:r>
        <w:t>методики оценки эффективности внедрения программных мероприятий</w:t>
      </w:r>
      <w:proofErr w:type="gramEnd"/>
      <w:r>
        <w:t xml:space="preserve"> в производственные процессы.</w:t>
      </w:r>
    </w:p>
    <w:p w:rsidR="00C458DD" w:rsidRDefault="00C458DD">
      <w:pPr>
        <w:pStyle w:val="ConsPlusNormal"/>
        <w:ind w:firstLine="540"/>
        <w:jc w:val="both"/>
      </w:pPr>
      <w:r>
        <w:t>В 2013 - 2015 годах планируется:</w:t>
      </w:r>
    </w:p>
    <w:p w:rsidR="00C458DD" w:rsidRDefault="00C458DD">
      <w:pPr>
        <w:pStyle w:val="ConsPlusNormal"/>
        <w:ind w:firstLine="540"/>
        <w:jc w:val="both"/>
      </w:pPr>
      <w:proofErr w:type="gramStart"/>
      <w:r>
        <w:t>проведение Министерством экономики Республики Татарстан, Министерством образования и науки Республики Татарстан, Министерством труда, занятости и социальной защиты Республики Татарстан, учебными центрами Республики Татарстан работ по включению скорректированных по результатам первого этапа учебных курсов в образовательные программы профессиональной подготовки специалистов в высокотехнологичных отраслях промышленности, распространение их на предприятиях и в организациях, что предполагает следующую последовательность мероприятий:</w:t>
      </w:r>
      <w:proofErr w:type="gramEnd"/>
    </w:p>
    <w:p w:rsidR="00C458DD" w:rsidRDefault="00C458DD">
      <w:pPr>
        <w:pStyle w:val="ConsPlusNormal"/>
        <w:ind w:firstLine="540"/>
        <w:jc w:val="both"/>
      </w:pPr>
      <w:r>
        <w:t>обследование предприятий и организаций с целью последующего картирования потока создания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>внедрение базовых элементов системы рынка интеллектуальной собственности, обучение и повышение квалификации персонала на предприятиях и в организациях - участниках Программы;</w:t>
      </w:r>
    </w:p>
    <w:p w:rsidR="00C458DD" w:rsidRDefault="00C458DD">
      <w:pPr>
        <w:pStyle w:val="ConsPlusNormal"/>
        <w:ind w:firstLine="540"/>
        <w:jc w:val="both"/>
      </w:pPr>
      <w:r>
        <w:t>тиражирование и углубление успешного опыта внедрения программных мероприятий на предприятиях и в организациях Республики Татарстан и в регионах Российской Федерации;</w:t>
      </w:r>
    </w:p>
    <w:p w:rsidR="00C458DD" w:rsidRDefault="00C458DD">
      <w:pPr>
        <w:pStyle w:val="ConsPlusNormal"/>
        <w:ind w:firstLine="540"/>
        <w:jc w:val="both"/>
      </w:pPr>
      <w:r>
        <w:t>распространение результатов внедрения программных мероприятий на предприятиях и в организациях Республики Татарстан и включение учебных курсов в образовательные программы начального, среднего и высшего профессионального образования, профессиональной подготовки и переподготовки кадров;</w:t>
      </w:r>
    </w:p>
    <w:p w:rsidR="00C458DD" w:rsidRDefault="00C458DD">
      <w:pPr>
        <w:pStyle w:val="ConsPlusNormal"/>
        <w:ind w:firstLine="540"/>
        <w:jc w:val="both"/>
      </w:pPr>
      <w:r>
        <w:t>разработка и апробация на предприятиях различных отраслей экономики, в образовательных учреждениях, отраслевых министерствах и ведомствах Республики Татарстан модульных презентаций, сценариев деловых игр;</w:t>
      </w:r>
    </w:p>
    <w:p w:rsidR="00C458DD" w:rsidRDefault="00C458DD">
      <w:pPr>
        <w:pStyle w:val="ConsPlusNormal"/>
        <w:ind w:firstLine="540"/>
        <w:jc w:val="both"/>
      </w:pPr>
      <w:r>
        <w:t>презентация результатов внедрения программных мероприятий в других регионах (в первую очередь Приволжского федерального округа) на основе заключенных соглашений о межрегиональном сотрудничестве;</w:t>
      </w:r>
    </w:p>
    <w:p w:rsidR="00C458DD" w:rsidRDefault="00C458DD">
      <w:pPr>
        <w:pStyle w:val="ConsPlusNormal"/>
        <w:ind w:firstLine="540"/>
        <w:jc w:val="both"/>
      </w:pPr>
      <w:r>
        <w:t>подача заявок на участие в федеральных целевых программах и определение внешних источников их финансирования, включение предприятий и организаций - участников Программы в число участников федеральных целевых программ.</w:t>
      </w:r>
    </w:p>
    <w:p w:rsidR="00C458DD" w:rsidRDefault="00C458DD">
      <w:pPr>
        <w:pStyle w:val="ConsPlusNormal"/>
        <w:ind w:firstLine="540"/>
        <w:jc w:val="both"/>
      </w:pPr>
      <w:r>
        <w:lastRenderedPageBreak/>
        <w:t>Предполагается к концу I этапа:</w:t>
      </w:r>
    </w:p>
    <w:p w:rsidR="00C458DD" w:rsidRDefault="00C458DD">
      <w:pPr>
        <w:pStyle w:val="ConsPlusNormal"/>
        <w:ind w:firstLine="540"/>
        <w:jc w:val="both"/>
      </w:pPr>
      <w:r>
        <w:t>провести научно-технический анализ результатов первого этапа внедрения программных мероприятий;</w:t>
      </w:r>
    </w:p>
    <w:p w:rsidR="00C458DD" w:rsidRDefault="00C458DD">
      <w:pPr>
        <w:pStyle w:val="ConsPlusNormal"/>
        <w:ind w:firstLine="540"/>
        <w:jc w:val="both"/>
      </w:pPr>
      <w:r>
        <w:t>обобщить опыт внедрения программных мероприятий группы предприятий и организаций - участников Программы;</w:t>
      </w:r>
    </w:p>
    <w:p w:rsidR="00C458DD" w:rsidRDefault="00C458DD">
      <w:pPr>
        <w:pStyle w:val="ConsPlusNormal"/>
        <w:ind w:firstLine="540"/>
        <w:jc w:val="both"/>
      </w:pPr>
      <w:r>
        <w:t xml:space="preserve">провести корректировку Программы с целью дальнейшего </w:t>
      </w:r>
      <w:proofErr w:type="gramStart"/>
      <w:r>
        <w:t>повышения эффективности механизмов коммерциализации прав</w:t>
      </w:r>
      <w:proofErr w:type="gramEnd"/>
      <w:r>
        <w:t xml:space="preserve"> на результаты интеллектуальной деятельности.</w:t>
      </w:r>
    </w:p>
    <w:p w:rsidR="00C458DD" w:rsidRDefault="00C458DD">
      <w:pPr>
        <w:pStyle w:val="ConsPlusNormal"/>
        <w:ind w:firstLine="540"/>
        <w:jc w:val="both"/>
      </w:pPr>
      <w:r>
        <w:t>В рамках II этапа "Повышение эффективности функционирования рынка интеллектуальной собственности" (долгосрочная перспектива) должно произойти активное внедрение (интеграция) результатов Программы в российское межрегиональное и международное сообщество с закреплением за Республикой Татарстан статуса инновационного центра.</w:t>
      </w:r>
    </w:p>
    <w:p w:rsidR="00C458DD" w:rsidRDefault="00C458DD">
      <w:pPr>
        <w:pStyle w:val="ConsPlusNormal"/>
        <w:ind w:firstLine="540"/>
        <w:jc w:val="both"/>
      </w:pPr>
      <w:r>
        <w:t>Указанный этап отражает необходимость научно-технического анализа результатов реализации программных мероприятий, систематизацию его результатов и представление их в профильные министерства Республики Татарстан, органы государственной власти Российской Федерации и регионы Российской Федерации, в частности:</w:t>
      </w:r>
    </w:p>
    <w:p w:rsidR="00C458DD" w:rsidRDefault="00C458DD">
      <w:pPr>
        <w:pStyle w:val="ConsPlusNormal"/>
        <w:ind w:firstLine="540"/>
        <w:jc w:val="both"/>
      </w:pPr>
      <w:r>
        <w:t>направление в органы государственной власти Российской Федерации и регионы Российской Федерации обобщенных результатов реализации Программы;</w:t>
      </w:r>
    </w:p>
    <w:p w:rsidR="00C458DD" w:rsidRDefault="00C458DD">
      <w:pPr>
        <w:pStyle w:val="ConsPlusNormal"/>
        <w:ind w:firstLine="540"/>
        <w:jc w:val="both"/>
      </w:pPr>
      <w:r>
        <w:t xml:space="preserve">обобщение </w:t>
      </w:r>
      <w:proofErr w:type="gramStart"/>
      <w:r>
        <w:t>опыта реализации программных мероприятий группы предприятий</w:t>
      </w:r>
      <w:proofErr w:type="gramEnd"/>
      <w:r>
        <w:t xml:space="preserve"> и организаций - участников Программы;</w:t>
      </w:r>
    </w:p>
    <w:p w:rsidR="00C458DD" w:rsidRDefault="00C458DD">
      <w:pPr>
        <w:pStyle w:val="ConsPlusNormal"/>
        <w:ind w:firstLine="540"/>
        <w:jc w:val="both"/>
      </w:pPr>
      <w:r>
        <w:t>распространение опыта внедрения результатов Программы в Российской Федерации;</w:t>
      </w:r>
    </w:p>
    <w:p w:rsidR="00C458DD" w:rsidRDefault="00C458DD">
      <w:pPr>
        <w:pStyle w:val="ConsPlusNormal"/>
        <w:ind w:firstLine="540"/>
        <w:jc w:val="both"/>
      </w:pPr>
      <w:r>
        <w:t>направление в финансовые институты Российской Федерации предложения о частичном финансировании Программы за счет средств, выделяемых по линии национальных исследовательских университетов и Казанского (Приволжского) федерального университета.</w:t>
      </w:r>
    </w:p>
    <w:p w:rsidR="00C458DD" w:rsidRDefault="00C458DD">
      <w:pPr>
        <w:pStyle w:val="ConsPlusNormal"/>
        <w:ind w:firstLine="540"/>
        <w:jc w:val="both"/>
      </w:pPr>
      <w:r>
        <w:t>Ожидаемым результатом работ по II этапу станет интеграция регионального рынка интеллектуальной собственности в федеральную и мировую инновационную системы.</w:t>
      </w:r>
    </w:p>
    <w:p w:rsidR="00C458DD" w:rsidRDefault="00C458DD">
      <w:pPr>
        <w:pStyle w:val="ConsPlusNormal"/>
        <w:ind w:firstLine="540"/>
        <w:jc w:val="both"/>
      </w:pPr>
      <w:r>
        <w:t>Ежегодные научно-технические мероприятия Программы.</w:t>
      </w:r>
    </w:p>
    <w:p w:rsidR="00C458DD" w:rsidRDefault="00C458DD">
      <w:pPr>
        <w:pStyle w:val="ConsPlusNormal"/>
        <w:ind w:firstLine="540"/>
        <w:jc w:val="both"/>
      </w:pPr>
      <w:r>
        <w:t>С целью обобщения опыта в вопросах реализации Программы ежегодно планируется проведение следующих научно-технических мероприятий:</w:t>
      </w:r>
    </w:p>
    <w:p w:rsidR="00C458DD" w:rsidRDefault="00C458DD">
      <w:pPr>
        <w:pStyle w:val="ConsPlusNormal"/>
        <w:ind w:firstLine="540"/>
        <w:jc w:val="both"/>
      </w:pPr>
      <w:r>
        <w:t>международная научно-практическая конференция по вопросам интеллектуальной собственности;</w:t>
      </w:r>
    </w:p>
    <w:p w:rsidR="00C458DD" w:rsidRDefault="00C458DD">
      <w:pPr>
        <w:pStyle w:val="ConsPlusNormal"/>
        <w:ind w:firstLine="540"/>
        <w:jc w:val="both"/>
      </w:pPr>
      <w:r>
        <w:t>слет изобретателей и рационализаторов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смотр на лучшую постановку изобретательской, рационализаторской и патентно-лицензионной работы среди предприятий, организаций и учреждений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подготовка государственного доклада Республики Татарстан "О состоянии и перспективах развития интеллектуальной собственности в Республике Татарстан".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7. Предложения об объемах и источниках</w:t>
      </w:r>
    </w:p>
    <w:p w:rsidR="00C458DD" w:rsidRDefault="00C458DD">
      <w:pPr>
        <w:pStyle w:val="ConsPlusNormal"/>
        <w:jc w:val="center"/>
      </w:pPr>
      <w:r>
        <w:t>финансирования Программы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 xml:space="preserve">На реализацию Программы предполагается направить средства из различных источников на условиях </w:t>
      </w:r>
      <w:proofErr w:type="spellStart"/>
      <w:r>
        <w:t>софинансирования</w:t>
      </w:r>
      <w:proofErr w:type="spellEnd"/>
      <w:r>
        <w:t xml:space="preserve"> с предприятиями и организациями - участниками Программы. Средства федерального бюджета могут быть использованы в случае включения предприятий в соответствующие федеральные целевые программы. К реализации программных мероприятий могут привлекаться средства из внебюджетных источников, в том числе и инвесторов.</w:t>
      </w:r>
    </w:p>
    <w:p w:rsidR="00C458DD" w:rsidRDefault="00C458DD">
      <w:pPr>
        <w:pStyle w:val="ConsPlusNormal"/>
        <w:ind w:firstLine="540"/>
        <w:jc w:val="both"/>
      </w:pPr>
      <w:r>
        <w:t xml:space="preserve">Оптимальным вариантом представляется </w:t>
      </w:r>
      <w:proofErr w:type="spellStart"/>
      <w:r>
        <w:t>софинансирование</w:t>
      </w:r>
      <w:proofErr w:type="spellEnd"/>
      <w:r>
        <w:t xml:space="preserve"> мероприятий Программы на условиях государственно-частного партнерства.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center"/>
      </w:pPr>
      <w:r>
        <w:t>8. Предложения об участии исполнительных органов</w:t>
      </w:r>
    </w:p>
    <w:p w:rsidR="00C458DD" w:rsidRDefault="00C458DD">
      <w:pPr>
        <w:pStyle w:val="ConsPlusNormal"/>
        <w:jc w:val="center"/>
      </w:pPr>
      <w:r>
        <w:t xml:space="preserve">государственной власти Республики Татарстан, </w:t>
      </w:r>
      <w:proofErr w:type="gramStart"/>
      <w:r>
        <w:t>ответственных</w:t>
      </w:r>
      <w:proofErr w:type="gramEnd"/>
    </w:p>
    <w:p w:rsidR="00C458DD" w:rsidRDefault="00C458DD">
      <w:pPr>
        <w:pStyle w:val="ConsPlusNormal"/>
        <w:jc w:val="center"/>
      </w:pPr>
      <w:r>
        <w:t xml:space="preserve">за формирование и реализацию Программы, о ее </w:t>
      </w:r>
      <w:proofErr w:type="gramStart"/>
      <w:r>
        <w:t>государственных</w:t>
      </w:r>
      <w:proofErr w:type="gramEnd"/>
    </w:p>
    <w:p w:rsidR="00C458DD" w:rsidRDefault="00C458DD">
      <w:pPr>
        <w:pStyle w:val="ConsPlusNormal"/>
        <w:jc w:val="center"/>
      </w:pPr>
      <w:proofErr w:type="gramStart"/>
      <w:r>
        <w:t>заказчиках</w:t>
      </w:r>
      <w:proofErr w:type="gramEnd"/>
      <w:r>
        <w:t xml:space="preserve"> и разработчиках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  <w:r>
        <w:t xml:space="preserve">Государственным заказчиком Программы является Кабинет Министров Республики Татарстан. Исполнительным органом государственной власти Республики Татарстан, </w:t>
      </w:r>
      <w:r>
        <w:lastRenderedPageBreak/>
        <w:t>ответственным за формирование и реализацию Программы, является Министерство экономики Республики Татарстан.</w:t>
      </w:r>
    </w:p>
    <w:p w:rsidR="00C458DD" w:rsidRDefault="00C458DD">
      <w:pPr>
        <w:pStyle w:val="ConsPlusNormal"/>
        <w:ind w:firstLine="540"/>
        <w:jc w:val="both"/>
      </w:pPr>
      <w:r>
        <w:t>Разработчики Программы:</w:t>
      </w:r>
    </w:p>
    <w:p w:rsidR="00C458DD" w:rsidRDefault="00C458DD">
      <w:pPr>
        <w:pStyle w:val="ConsPlusNormal"/>
        <w:ind w:firstLine="540"/>
        <w:jc w:val="both"/>
      </w:pPr>
      <w:r>
        <w:t>Министерство экономики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Министерство промышленности и торговли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Министерство энергетики Республики Татарстан;</w:t>
      </w:r>
    </w:p>
    <w:p w:rsidR="00C458DD" w:rsidRDefault="00C458DD">
      <w:pPr>
        <w:pStyle w:val="ConsPlusNormal"/>
        <w:ind w:firstLine="540"/>
        <w:jc w:val="both"/>
      </w:pPr>
      <w:r>
        <w:t>государственное унитарное предприятие Республики Татарстан "Татарстанский центр научно-технической информации".</w:t>
      </w:r>
    </w:p>
    <w:p w:rsidR="00C458DD" w:rsidRDefault="00C458DD">
      <w:pPr>
        <w:pStyle w:val="ConsPlusNormal"/>
        <w:ind w:firstLine="540"/>
        <w:jc w:val="both"/>
      </w:pPr>
      <w:r>
        <w:t>Основные исполнители Программы: министерства и ведомства, предприятия и организации Республики Татарстан.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jc w:val="right"/>
      </w:pPr>
      <w:r>
        <w:t>Приложение</w:t>
      </w:r>
    </w:p>
    <w:p w:rsidR="00C458DD" w:rsidRDefault="00C458DD">
      <w:pPr>
        <w:pStyle w:val="ConsPlusNormal"/>
        <w:jc w:val="right"/>
      </w:pPr>
      <w:r>
        <w:t>к Концепции</w:t>
      </w:r>
    </w:p>
    <w:p w:rsidR="00C458DD" w:rsidRDefault="00C458DD">
      <w:pPr>
        <w:pStyle w:val="ConsPlusNormal"/>
        <w:jc w:val="right"/>
      </w:pPr>
      <w:r>
        <w:t>Долгосрочной целевой программы</w:t>
      </w:r>
    </w:p>
    <w:p w:rsidR="00C458DD" w:rsidRDefault="00C458DD">
      <w:pPr>
        <w:pStyle w:val="ConsPlusNormal"/>
        <w:jc w:val="right"/>
      </w:pPr>
      <w:r>
        <w:t xml:space="preserve">"Развитие рынка </w:t>
      </w:r>
      <w:proofErr w:type="gramStart"/>
      <w:r>
        <w:t>интеллектуальной</w:t>
      </w:r>
      <w:proofErr w:type="gramEnd"/>
    </w:p>
    <w:p w:rsidR="00C458DD" w:rsidRDefault="00C458DD">
      <w:pPr>
        <w:pStyle w:val="ConsPlusNormal"/>
        <w:jc w:val="right"/>
      </w:pPr>
      <w:r>
        <w:t>собственности в Республике Татарстан</w:t>
      </w:r>
    </w:p>
    <w:p w:rsidR="00C458DD" w:rsidRDefault="00C458DD">
      <w:pPr>
        <w:pStyle w:val="ConsPlusNormal"/>
        <w:jc w:val="right"/>
      </w:pPr>
      <w:r>
        <w:t>на 2012 - 2020 годы"</w:t>
      </w: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Title"/>
        <w:jc w:val="center"/>
      </w:pPr>
      <w:bookmarkStart w:id="2" w:name="P237"/>
      <w:bookmarkEnd w:id="2"/>
      <w:r>
        <w:t>СИСТЕМА</w:t>
      </w:r>
    </w:p>
    <w:p w:rsidR="00C458DD" w:rsidRDefault="00C458DD">
      <w:pPr>
        <w:pStyle w:val="ConsPlusTitle"/>
        <w:jc w:val="center"/>
      </w:pPr>
      <w:r>
        <w:t>ЦЕЛЕВЫХ ИНДИКАТОРОВ ДЛЯ ОЦЕНКИ РЕЗУЛЬТАТОВ ВНЕДРЕНИЯ</w:t>
      </w:r>
    </w:p>
    <w:p w:rsidR="00C458DD" w:rsidRDefault="00C458DD">
      <w:pPr>
        <w:pStyle w:val="ConsPlusTitle"/>
        <w:jc w:val="center"/>
      </w:pPr>
      <w:r>
        <w:t>ДОЛГОСРОЧНОЙ ЦЕЛЕВОЙ ПРОГРАММЫ "РАЗВИТИЕ РЫНКА</w:t>
      </w:r>
    </w:p>
    <w:p w:rsidR="00C458DD" w:rsidRDefault="00C458DD">
      <w:pPr>
        <w:pStyle w:val="ConsPlusTitle"/>
        <w:jc w:val="center"/>
      </w:pPr>
      <w:r>
        <w:t>ИНТЕЛЛЕКТУАЛЬНОЙ СОБСТВЕННОСТИ В РЕСПУБЛИКЕ ТАТАРСТАН</w:t>
      </w:r>
    </w:p>
    <w:p w:rsidR="00C458DD" w:rsidRDefault="00C458DD">
      <w:pPr>
        <w:pStyle w:val="ConsPlusTitle"/>
        <w:jc w:val="center"/>
      </w:pPr>
      <w:r>
        <w:t>НА 2012 - 2020 ГОДЫ"</w:t>
      </w:r>
    </w:p>
    <w:p w:rsidR="00C458DD" w:rsidRDefault="00C45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320"/>
        <w:gridCol w:w="1560"/>
        <w:gridCol w:w="2280"/>
      </w:tblGrid>
      <w:tr w:rsidR="00C458DD">
        <w:trPr>
          <w:trHeight w:val="240"/>
        </w:trPr>
        <w:tc>
          <w:tcPr>
            <w:tcW w:w="720" w:type="dxa"/>
          </w:tcPr>
          <w:p w:rsidR="00C458DD" w:rsidRDefault="00C458DD">
            <w:pPr>
              <w:pStyle w:val="ConsPlusNonformat"/>
              <w:jc w:val="both"/>
            </w:pPr>
            <w:r>
              <w:t xml:space="preserve"> N  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0" w:type="dxa"/>
          </w:tcPr>
          <w:p w:rsidR="00C458DD" w:rsidRDefault="00C458DD">
            <w:pPr>
              <w:pStyle w:val="ConsPlusNonformat"/>
              <w:jc w:val="both"/>
            </w:pPr>
            <w:r>
              <w:t xml:space="preserve">  Наименование индикатора   </w:t>
            </w:r>
          </w:p>
        </w:tc>
        <w:tc>
          <w:tcPr>
            <w:tcW w:w="1320" w:type="dxa"/>
          </w:tcPr>
          <w:p w:rsidR="00C458DD" w:rsidRDefault="00C458DD">
            <w:pPr>
              <w:pStyle w:val="ConsPlusNonformat"/>
              <w:jc w:val="both"/>
            </w:pPr>
            <w:proofErr w:type="spellStart"/>
            <w:r>
              <w:t>Периодич</w:t>
            </w:r>
            <w:proofErr w:type="spellEnd"/>
            <w:r>
              <w:t>-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ность</w:t>
            </w:r>
            <w:proofErr w:type="spellEnd"/>
            <w:r>
              <w:t xml:space="preserve">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монито</w:t>
            </w:r>
            <w:proofErr w:type="spellEnd"/>
            <w:r>
              <w:t xml:space="preserve">-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ринга  </w:t>
            </w:r>
          </w:p>
        </w:tc>
        <w:tc>
          <w:tcPr>
            <w:tcW w:w="1560" w:type="dxa"/>
          </w:tcPr>
          <w:p w:rsidR="00C458DD" w:rsidRDefault="00C458DD">
            <w:pPr>
              <w:pStyle w:val="ConsPlusNonformat"/>
              <w:jc w:val="both"/>
            </w:pPr>
            <w:r>
              <w:t xml:space="preserve"> Значение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индикатора </w:t>
            </w:r>
          </w:p>
          <w:p w:rsidR="00C458DD" w:rsidRDefault="00C458DD">
            <w:pPr>
              <w:pStyle w:val="ConsPlusNonformat"/>
              <w:jc w:val="both"/>
            </w:pPr>
            <w:r>
              <w:t>(ожидаемое)</w:t>
            </w:r>
          </w:p>
        </w:tc>
        <w:tc>
          <w:tcPr>
            <w:tcW w:w="2280" w:type="dxa"/>
          </w:tcPr>
          <w:p w:rsidR="00C458DD" w:rsidRDefault="00C458DD">
            <w:pPr>
              <w:pStyle w:val="ConsPlusNonformat"/>
              <w:jc w:val="both"/>
            </w:pPr>
            <w:r>
              <w:t xml:space="preserve">   Примечание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 xml:space="preserve">(источник    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   информации)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         2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C458DD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Основные индикаторы                                         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Удельный вес  </w:t>
            </w:r>
            <w:proofErr w:type="gramStart"/>
            <w:r>
              <w:t>нематериальных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активов   в   общей    сумме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активов предприятия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30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к 2020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   </w:t>
            </w:r>
            <w:hyperlink r:id="rId9" w:history="1">
              <w:r>
                <w:rPr>
                  <w:color w:val="0000FF"/>
                </w:rPr>
                <w:t>форма</w:t>
              </w:r>
            </w:hyperlink>
          </w:p>
          <w:p w:rsidR="00C458DD" w:rsidRDefault="00C458DD">
            <w:pPr>
              <w:pStyle w:val="ConsPlusNonformat"/>
              <w:jc w:val="both"/>
            </w:pPr>
            <w:r>
              <w:t xml:space="preserve">федерального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статистического  </w:t>
            </w:r>
          </w:p>
          <w:p w:rsidR="00C458DD" w:rsidRDefault="00C458DD">
            <w:pPr>
              <w:pStyle w:val="ConsPlusNonformat"/>
              <w:jc w:val="both"/>
            </w:pPr>
            <w:r>
              <w:t>наблюдения N 4-НТ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(перечень)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"Сведения      </w:t>
            </w:r>
            <w:proofErr w:type="gramStart"/>
            <w:r>
              <w:t>об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интеллектуальной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собственности"   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(далее -  годовая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форма N 4-НТ)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</w:t>
            </w:r>
            <w:proofErr w:type="spellStart"/>
            <w:r>
              <w:t>инновационно</w:t>
            </w:r>
            <w:proofErr w:type="spellEnd"/>
          </w:p>
          <w:p w:rsidR="00C458DD" w:rsidRDefault="00C458DD">
            <w:pPr>
              <w:pStyle w:val="ConsPlusNonformat"/>
              <w:jc w:val="both"/>
            </w:pPr>
            <w:r>
              <w:t xml:space="preserve">активных организаций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Территориальный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орган </w:t>
            </w:r>
            <w:proofErr w:type="gramStart"/>
            <w:r>
              <w:t>Федеральной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службы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государственной  </w:t>
            </w:r>
          </w:p>
          <w:p w:rsidR="00C458DD" w:rsidRDefault="00C458DD">
            <w:pPr>
              <w:pStyle w:val="ConsPlusNonformat"/>
              <w:jc w:val="both"/>
            </w:pPr>
            <w:r>
              <w:t>статистики     по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Республике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Татарстан        </w:t>
            </w:r>
          </w:p>
          <w:p w:rsidR="00C458DD" w:rsidRDefault="00C458DD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Татарстанстат</w:t>
            </w:r>
            <w:proofErr w:type="spellEnd"/>
            <w:r>
              <w:t xml:space="preserve">)  </w:t>
            </w:r>
          </w:p>
        </w:tc>
      </w:tr>
      <w:tr w:rsidR="00C458DD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Индикаторы  реализации  Программы  в  рамках  задачи  охраны, обеспечения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поддержания интеллектуальной собственности и защиты прав на нее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Количество  поданных  заявок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на   объекты    </w:t>
            </w:r>
            <w:proofErr w:type="gramStart"/>
            <w:r>
              <w:t>промышленной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собственности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годовая  </w:t>
            </w:r>
            <w:hyperlink r:id="rId10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>зарегистрированных  объектов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авторского права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1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зарегистрированных          </w:t>
            </w:r>
          </w:p>
          <w:p w:rsidR="00C458DD" w:rsidRDefault="00C458DD">
            <w:pPr>
              <w:pStyle w:val="ConsPlusNonformat"/>
              <w:jc w:val="both"/>
            </w:pPr>
            <w:r>
              <w:t>топологий       интегральных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микросхем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2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зарегистрированных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селекционных достижений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3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>зарегистрированных    единых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технологий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4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    </w:t>
            </w:r>
            <w:proofErr w:type="gramStart"/>
            <w:r>
              <w:t>выданных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охранных    документов    </w:t>
            </w:r>
            <w:proofErr w:type="gramStart"/>
            <w:r>
              <w:t>на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объекты патентного права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5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>зарегистрированных   средств</w:t>
            </w:r>
          </w:p>
          <w:p w:rsidR="00C458DD" w:rsidRDefault="00C458DD">
            <w:pPr>
              <w:pStyle w:val="ConsPlusNonformat"/>
              <w:jc w:val="both"/>
            </w:pPr>
            <w:r>
              <w:t>индивидуализации    товаров,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работ  и   услуг   (товарных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знаков,               знаков</w:t>
            </w:r>
          </w:p>
          <w:p w:rsidR="00C458DD" w:rsidRDefault="00C458DD">
            <w:pPr>
              <w:pStyle w:val="ConsPlusNonformat"/>
              <w:jc w:val="both"/>
            </w:pPr>
            <w:r>
              <w:t>обслуживания,   наименований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мест происхождения товаров)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6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Доля    </w:t>
            </w:r>
            <w:proofErr w:type="gramStart"/>
            <w:r>
              <w:t>государственных</w:t>
            </w:r>
            <w:proofErr w:type="gramEnd"/>
            <w:r>
              <w:t xml:space="preserve">    и</w:t>
            </w:r>
          </w:p>
          <w:p w:rsidR="00C458DD" w:rsidRDefault="00C458DD">
            <w:pPr>
              <w:pStyle w:val="ConsPlusNonformat"/>
              <w:jc w:val="both"/>
            </w:pPr>
            <w:r>
              <w:t>муниципальных     контрактов</w:t>
            </w:r>
          </w:p>
          <w:p w:rsidR="00C458DD" w:rsidRDefault="00C458DD">
            <w:pPr>
              <w:pStyle w:val="ConsPlusNonformat"/>
              <w:jc w:val="both"/>
            </w:pPr>
            <w:r>
              <w:t>(договоров),      включающих</w:t>
            </w:r>
          </w:p>
          <w:p w:rsidR="00C458DD" w:rsidRDefault="00C458DD">
            <w:pPr>
              <w:pStyle w:val="ConsPlusNonformat"/>
              <w:jc w:val="both"/>
            </w:pPr>
            <w:r>
              <w:t>раздел,     регламентирующий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закрепление     прав      </w:t>
            </w:r>
            <w:proofErr w:type="gramStart"/>
            <w:r>
              <w:t>на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результаты  </w:t>
            </w:r>
            <w:proofErr w:type="gramStart"/>
            <w:r>
              <w:t>интеллектуальной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деятельности,   от    общего</w:t>
            </w:r>
          </w:p>
          <w:p w:rsidR="00C458DD" w:rsidRDefault="00C458DD">
            <w:pPr>
              <w:pStyle w:val="ConsPlusNonformat"/>
              <w:jc w:val="both"/>
            </w:pPr>
            <w:r>
              <w:t>числа            заключенных</w:t>
            </w:r>
          </w:p>
          <w:p w:rsidR="00C458DD" w:rsidRDefault="00C458DD">
            <w:pPr>
              <w:pStyle w:val="ConsPlusNonformat"/>
              <w:jc w:val="both"/>
            </w:pPr>
            <w:r>
              <w:t>государственных            и</w:t>
            </w:r>
          </w:p>
          <w:p w:rsidR="00C458DD" w:rsidRDefault="00C458DD">
            <w:pPr>
              <w:pStyle w:val="ConsPlusNonformat"/>
              <w:jc w:val="both"/>
            </w:pPr>
            <w:r>
              <w:t>муниципальных     контрактов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(договоров)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100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к 2013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министерства    и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ведомства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Республики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Татарстан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Доля       договоров       о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распоряжении</w:t>
            </w:r>
            <w:proofErr w:type="gramEnd"/>
            <w:r>
              <w:t xml:space="preserve">  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исключительными  правами  </w:t>
            </w:r>
            <w:proofErr w:type="gramStart"/>
            <w:r>
              <w:t>на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результаты  </w:t>
            </w:r>
            <w:proofErr w:type="gramStart"/>
            <w:r>
              <w:t>интеллектуальной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деятельности, полученные  </w:t>
            </w:r>
            <w:proofErr w:type="gramStart"/>
            <w:r>
              <w:t>за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счет     средств     бюджета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Республики   Татарстан,   </w:t>
            </w:r>
            <w:proofErr w:type="gramStart"/>
            <w:r>
              <w:t>от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общего   числа    договоров,</w:t>
            </w:r>
          </w:p>
          <w:p w:rsidR="00C458DD" w:rsidRDefault="00C458DD">
            <w:pPr>
              <w:pStyle w:val="ConsPlusNonformat"/>
              <w:jc w:val="both"/>
            </w:pPr>
            <w:r>
              <w:t>заключенных  уполномоченными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на    распоряжение    </w:t>
            </w:r>
            <w:proofErr w:type="gramStart"/>
            <w:r>
              <w:t>такими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правами      органами      и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организациями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100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к 2013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министерства    и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ведомства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Республики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Татарстан        </w:t>
            </w:r>
          </w:p>
        </w:tc>
      </w:tr>
      <w:tr w:rsidR="00C458DD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Индикаторы реализации Программы в рамках  задачи  формирования  механизма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вовлечения в хозяйственный оборот  прав  на  результаты  </w:t>
            </w:r>
            <w:proofErr w:type="gramStart"/>
            <w:r>
              <w:t>интеллектуальной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деятельности                                                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Использование    результатов</w:t>
            </w:r>
          </w:p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интеллектуальной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деятельности               </w:t>
            </w:r>
            <w:proofErr w:type="gramStart"/>
            <w:r>
              <w:t>в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хозяйственном        </w:t>
            </w:r>
            <w:proofErr w:type="gramStart"/>
            <w:r>
              <w:t>обороте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предприятия:                </w:t>
            </w: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7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lastRenderedPageBreak/>
              <w:t xml:space="preserve">4-НТ             </w:t>
            </w:r>
          </w:p>
        </w:tc>
      </w:tr>
      <w:tr w:rsidR="00C458DD">
        <w:tc>
          <w:tcPr>
            <w:tcW w:w="600" w:type="dxa"/>
            <w:vMerge/>
            <w:tcBorders>
              <w:top w:val="nil"/>
            </w:tcBorders>
          </w:tcPr>
          <w:p w:rsidR="00C458DD" w:rsidRDefault="00C458DD"/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количество      </w:t>
            </w:r>
            <w:proofErr w:type="gramStart"/>
            <w:r>
              <w:t>используемых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собственных      результатов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интеллектуальной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деятельности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8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c>
          <w:tcPr>
            <w:tcW w:w="600" w:type="dxa"/>
            <w:vMerge/>
            <w:tcBorders>
              <w:top w:val="nil"/>
            </w:tcBorders>
          </w:tcPr>
          <w:p w:rsidR="00C458DD" w:rsidRDefault="00C458DD"/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количество       заключенных</w:t>
            </w:r>
          </w:p>
          <w:p w:rsidR="00C458DD" w:rsidRDefault="00C458DD">
            <w:pPr>
              <w:pStyle w:val="ConsPlusNonformat"/>
              <w:jc w:val="both"/>
            </w:pPr>
            <w:r>
              <w:t>договоров   о   распоряжении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исключительными  правами  </w:t>
            </w:r>
            <w:proofErr w:type="gramStart"/>
            <w:r>
              <w:t>на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результаты  </w:t>
            </w:r>
            <w:proofErr w:type="gramStart"/>
            <w:r>
              <w:t>интеллектуальной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 xml:space="preserve">деятельности  на  </w:t>
            </w:r>
            <w:proofErr w:type="gramStart"/>
            <w:r>
              <w:t>внутреннем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рынке</w:t>
            </w:r>
            <w:proofErr w:type="gramEnd"/>
            <w:r>
              <w:t xml:space="preserve">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19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количество         лицензий,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проданных</w:t>
            </w:r>
            <w:proofErr w:type="gramEnd"/>
            <w:r>
              <w:t xml:space="preserve"> за рубеж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годовая  </w:t>
            </w:r>
            <w:hyperlink r:id="rId20" w:history="1">
              <w:r>
                <w:rPr>
                  <w:color w:val="0000FF"/>
                </w:rPr>
                <w:t>форма</w:t>
              </w:r>
            </w:hyperlink>
            <w:r>
              <w:t xml:space="preserve">  N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4-НТ        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>количество         лицензий,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приобретенных</w:t>
            </w:r>
            <w:proofErr w:type="gramEnd"/>
            <w:r>
              <w:t xml:space="preserve"> из-за рубежа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ежегодный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прирост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5 - 10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Татарстанская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таможня          </w:t>
            </w:r>
          </w:p>
        </w:tc>
      </w:tr>
      <w:tr w:rsidR="00C458DD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Индикаторы  реализации  Программы  в  рамках   задачи   </w:t>
            </w:r>
            <w:proofErr w:type="gramStart"/>
            <w:r>
              <w:t>инфраструктурного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обеспечения процесса коммерциализации прав на результаты интеллектуальной</w:t>
            </w:r>
          </w:p>
          <w:p w:rsidR="00C458DD" w:rsidRDefault="00C458DD">
            <w:pPr>
              <w:pStyle w:val="ConsPlusNonformat"/>
              <w:jc w:val="both"/>
            </w:pPr>
            <w:r>
              <w:t>деятельности (</w:t>
            </w:r>
            <w:proofErr w:type="gramStart"/>
            <w:r>
              <w:t>экономическое</w:t>
            </w:r>
            <w:proofErr w:type="gramEnd"/>
            <w:r>
              <w:t xml:space="preserve">, кадровое, нормативно-правовое и другое)   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Обеспеченность  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>квалифицированными   кадрами</w:t>
            </w:r>
          </w:p>
          <w:p w:rsidR="00C458DD" w:rsidRDefault="00C458DD">
            <w:pPr>
              <w:pStyle w:val="ConsPlusNonformat"/>
              <w:jc w:val="both"/>
            </w:pPr>
            <w:r>
              <w:t>в  области  интеллектуальной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собственности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100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к 2020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Территориальный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орган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Федеральной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службы    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государственной  </w:t>
            </w:r>
          </w:p>
          <w:p w:rsidR="00C458DD" w:rsidRDefault="00C458DD">
            <w:pPr>
              <w:pStyle w:val="ConsPlusNonformat"/>
              <w:jc w:val="both"/>
            </w:pPr>
            <w:r>
              <w:t>статистики     по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Республике   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Татарстан        </w:t>
            </w:r>
          </w:p>
          <w:p w:rsidR="00C458DD" w:rsidRDefault="00C458DD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Татарстанстат</w:t>
            </w:r>
            <w:proofErr w:type="spellEnd"/>
            <w:r>
              <w:t xml:space="preserve">)  </w:t>
            </w:r>
          </w:p>
        </w:tc>
      </w:tr>
      <w:tr w:rsidR="00C458D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Доля  </w:t>
            </w:r>
            <w:proofErr w:type="spellStart"/>
            <w:r>
              <w:t>инновационно</w:t>
            </w:r>
            <w:proofErr w:type="spellEnd"/>
            <w:r>
              <w:t xml:space="preserve">  </w:t>
            </w:r>
            <w:proofErr w:type="gramStart"/>
            <w:r>
              <w:t>активных</w:t>
            </w:r>
            <w:proofErr w:type="gramEnd"/>
          </w:p>
          <w:p w:rsidR="00C458DD" w:rsidRDefault="00C458DD">
            <w:pPr>
              <w:pStyle w:val="ConsPlusNonformat"/>
              <w:jc w:val="both"/>
            </w:pPr>
            <w:r>
              <w:t>организаций,         имеющих</w:t>
            </w:r>
          </w:p>
          <w:p w:rsidR="00C458DD" w:rsidRDefault="00C458DD">
            <w:pPr>
              <w:pStyle w:val="ConsPlusNonformat"/>
              <w:jc w:val="both"/>
            </w:pPr>
            <w:r>
              <w:t>собственные   патентные    и</w:t>
            </w:r>
          </w:p>
          <w:p w:rsidR="00C458DD" w:rsidRDefault="00C458DD">
            <w:pPr>
              <w:pStyle w:val="ConsPlusNonformat"/>
              <w:jc w:val="both"/>
            </w:pPr>
            <w:r>
              <w:t>иные   службы   по    охране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интеллектуальной            </w:t>
            </w:r>
          </w:p>
          <w:p w:rsidR="00C458DD" w:rsidRDefault="00C458DD">
            <w:pPr>
              <w:pStyle w:val="ConsPlusNonformat"/>
              <w:jc w:val="both"/>
            </w:pPr>
            <w:r>
              <w:t>собственности,    в    общем</w:t>
            </w:r>
          </w:p>
          <w:p w:rsidR="00C458DD" w:rsidRDefault="00C458DD">
            <w:pPr>
              <w:pStyle w:val="ConsPlusNonformat"/>
              <w:jc w:val="both"/>
            </w:pPr>
            <w:proofErr w:type="gramStart"/>
            <w:r>
              <w:t>количестве</w:t>
            </w:r>
            <w:proofErr w:type="gramEnd"/>
            <w:r>
              <w:t xml:space="preserve">      </w:t>
            </w:r>
            <w:proofErr w:type="spellStart"/>
            <w:r>
              <w:t>инновационно</w:t>
            </w:r>
            <w:proofErr w:type="spellEnd"/>
          </w:p>
          <w:p w:rsidR="00C458DD" w:rsidRDefault="00C458DD">
            <w:pPr>
              <w:pStyle w:val="ConsPlusNonformat"/>
              <w:jc w:val="both"/>
            </w:pPr>
            <w:r>
              <w:t xml:space="preserve">активных организаций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ежегодно </w:t>
            </w:r>
          </w:p>
        </w:tc>
        <w:tc>
          <w:tcPr>
            <w:tcW w:w="156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    100 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процентов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к 2020   </w:t>
            </w:r>
          </w:p>
          <w:p w:rsidR="00C458DD" w:rsidRDefault="00C458DD">
            <w:pPr>
              <w:pStyle w:val="ConsPlusNonformat"/>
              <w:jc w:val="both"/>
            </w:pPr>
            <w:r>
              <w:t xml:space="preserve">   году    </w:t>
            </w:r>
          </w:p>
        </w:tc>
        <w:tc>
          <w:tcPr>
            <w:tcW w:w="2280" w:type="dxa"/>
            <w:tcBorders>
              <w:top w:val="nil"/>
            </w:tcBorders>
          </w:tcPr>
          <w:p w:rsidR="00C458DD" w:rsidRDefault="00C458DD">
            <w:pPr>
              <w:pStyle w:val="ConsPlusNonformat"/>
              <w:jc w:val="both"/>
            </w:pPr>
            <w:r>
              <w:t xml:space="preserve">организации      </w:t>
            </w:r>
          </w:p>
        </w:tc>
      </w:tr>
    </w:tbl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ind w:firstLine="540"/>
        <w:jc w:val="both"/>
      </w:pPr>
    </w:p>
    <w:p w:rsidR="00C458DD" w:rsidRDefault="00C45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4CC" w:rsidRDefault="00994FB3"/>
    <w:sectPr w:rsidR="00D414CC" w:rsidSect="007E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D"/>
    <w:rsid w:val="00200463"/>
    <w:rsid w:val="004C2AB8"/>
    <w:rsid w:val="00994FB3"/>
    <w:rsid w:val="00C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12781CBD6DC029712E0D270947AB500C5FC0CE3ACC20C26D1CE8C73w6n4L" TargetMode="External"/><Relationship Id="rId13" Type="http://schemas.openxmlformats.org/officeDocument/2006/relationships/hyperlink" Target="consultantplus://offline/ref=DE612781CBD6DC029712E0D270947AB50BC4F806E5A79F062E88C28E746BEEDB0F17F96064B37Fw7n4L" TargetMode="External"/><Relationship Id="rId18" Type="http://schemas.openxmlformats.org/officeDocument/2006/relationships/hyperlink" Target="consultantplus://offline/ref=DE612781CBD6DC029712E0D270947AB50BC4F806E5A79F062E88C28E746BEEDB0F17F96064B37Fw7n4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E612781CBD6DC029712FEDF66F827BE01CEA209E3ADC9537C8E95D1246DBB9Bw4nFL" TargetMode="External"/><Relationship Id="rId12" Type="http://schemas.openxmlformats.org/officeDocument/2006/relationships/hyperlink" Target="consultantplus://offline/ref=DE612781CBD6DC029712E0D270947AB50BC4F806E5A79F062E88C28E746BEEDB0F17F96064B37Fw7n4L" TargetMode="External"/><Relationship Id="rId17" Type="http://schemas.openxmlformats.org/officeDocument/2006/relationships/hyperlink" Target="consultantplus://offline/ref=DE612781CBD6DC029712E0D270947AB50BC4F806E5A79F062E88C28E746BEEDB0F17F96064B37Fw7n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12781CBD6DC029712E0D270947AB50BC4F806E5A79F062E88C28E746BEEDB0F17F96064B37Fw7n4L" TargetMode="External"/><Relationship Id="rId20" Type="http://schemas.openxmlformats.org/officeDocument/2006/relationships/hyperlink" Target="consultantplus://offline/ref=DE612781CBD6DC029712E0D270947AB50BC4F806E5A79F062E88C28E746BEEDB0F17F96064B37Fw7n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12781CBD6DC029712FEDF66F827BE01CEA209E5A9CD5D738E95D1246DBB9B4F11AC2320BE7F707E253Fw9n4L" TargetMode="External"/><Relationship Id="rId11" Type="http://schemas.openxmlformats.org/officeDocument/2006/relationships/hyperlink" Target="consultantplus://offline/ref=DE612781CBD6DC029712E0D270947AB50BC4F806E5A79F062E88C28E746BEEDB0F17F96064B37Fw7n4L" TargetMode="External"/><Relationship Id="rId5" Type="http://schemas.openxmlformats.org/officeDocument/2006/relationships/hyperlink" Target="consultantplus://offline/ref=DE612781CBD6DC029712FEDF66F827BE01CEA209E0ACCC587A8E95D1246DBB9Bw4nFL" TargetMode="External"/><Relationship Id="rId15" Type="http://schemas.openxmlformats.org/officeDocument/2006/relationships/hyperlink" Target="consultantplus://offline/ref=DE612781CBD6DC029712E0D270947AB50BC4F806E5A79F062E88C28E746BEEDB0F17F96064B37Fw7n4L" TargetMode="External"/><Relationship Id="rId10" Type="http://schemas.openxmlformats.org/officeDocument/2006/relationships/hyperlink" Target="consultantplus://offline/ref=DE612781CBD6DC029712E0D270947AB50BC4F806E5A79F062E88C28E746BEEDB0F17F96064B37Fw7n4L" TargetMode="External"/><Relationship Id="rId19" Type="http://schemas.openxmlformats.org/officeDocument/2006/relationships/hyperlink" Target="consultantplus://offline/ref=DE612781CBD6DC029712E0D270947AB50BC4F806E5A79F062E88C28E746BEEDB0F17F96064B37Fw7n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12781CBD6DC029712E0D270947AB50BC4F806E5A79F062E88C28E746BEEDB0F17F96064B37Fw7n4L" TargetMode="External"/><Relationship Id="rId14" Type="http://schemas.openxmlformats.org/officeDocument/2006/relationships/hyperlink" Target="consultantplus://offline/ref=DE612781CBD6DC029712E0D270947AB50BC4F806E5A79F062E88C28E746BEEDB0F17F96064B37Fw7n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6520</Words>
  <Characters>37167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 Рамиль Раисович</dc:creator>
  <cp:lastModifiedBy>Галлямов Рамиль Раисович</cp:lastModifiedBy>
  <cp:revision>2</cp:revision>
  <dcterms:created xsi:type="dcterms:W3CDTF">2016-11-29T11:39:00Z</dcterms:created>
  <dcterms:modified xsi:type="dcterms:W3CDTF">2016-11-30T07:10:00Z</dcterms:modified>
</cp:coreProperties>
</file>